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0AD" w:rsidRDefault="00120E6E" w:rsidP="00F11651">
      <w:pPr>
        <w:pStyle w:val="NormalWeb"/>
        <w:spacing w:line="276" w:lineRule="auto"/>
        <w:ind w:left="2836" w:firstLine="709"/>
        <w:rPr>
          <w:rFonts w:ascii="Arial" w:hAnsi="Arial" w:cs="Arial"/>
          <w:b/>
          <w:color w:val="666666"/>
          <w:sz w:val="36"/>
          <w:szCs w:val="36"/>
        </w:rPr>
      </w:pPr>
      <w:r>
        <w:rPr>
          <w:rFonts w:ascii="Arial" w:hAnsi="Arial" w:cs="Arial"/>
          <w:b/>
          <w:noProof/>
          <w:color w:val="666666"/>
          <w:sz w:val="36"/>
          <w:szCs w:val="36"/>
        </w:rPr>
        <w:drawing>
          <wp:anchor distT="0" distB="0" distL="114300" distR="114300" simplePos="0" relativeHeight="251658240" behindDoc="0" locked="0" layoutInCell="1" allowOverlap="1">
            <wp:simplePos x="0" y="0"/>
            <wp:positionH relativeFrom="column">
              <wp:posOffset>45720</wp:posOffset>
            </wp:positionH>
            <wp:positionV relativeFrom="paragraph">
              <wp:posOffset>-170640</wp:posOffset>
            </wp:positionV>
            <wp:extent cx="652320" cy="777239"/>
            <wp:effectExtent l="0" t="0" r="0" b="3811"/>
            <wp:wrapSquare wrapText="bothSides"/>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52320" cy="777239"/>
                    </a:xfrm>
                    <a:prstGeom prst="rect">
                      <a:avLst/>
                    </a:prstGeom>
                  </pic:spPr>
                </pic:pic>
              </a:graphicData>
            </a:graphic>
          </wp:anchor>
        </w:drawing>
      </w:r>
      <w:r w:rsidR="009D5BFD">
        <w:rPr>
          <w:rFonts w:ascii="Arial" w:hAnsi="Arial" w:cs="Arial"/>
          <w:b/>
          <w:color w:val="666666"/>
          <w:sz w:val="36"/>
          <w:szCs w:val="36"/>
        </w:rPr>
        <w:t>STAFF</w:t>
      </w:r>
      <w:r>
        <w:rPr>
          <w:rFonts w:ascii="Arial" w:hAnsi="Arial" w:cs="Arial"/>
          <w:b/>
          <w:color w:val="666666"/>
          <w:sz w:val="36"/>
          <w:szCs w:val="36"/>
        </w:rPr>
        <w:t xml:space="preserve"> TRAVEL POLICY</w:t>
      </w:r>
    </w:p>
    <w:p w:rsidR="008C60AD" w:rsidRDefault="00120E6E">
      <w:pPr>
        <w:pStyle w:val="NormalWeb"/>
        <w:spacing w:line="276" w:lineRule="auto"/>
        <w:jc w:val="center"/>
        <w:rPr>
          <w:rFonts w:ascii="Arial" w:hAnsi="Arial" w:cs="Arial"/>
          <w:b/>
          <w:color w:val="666666"/>
          <w:sz w:val="36"/>
          <w:szCs w:val="36"/>
        </w:rPr>
      </w:pPr>
      <w:r>
        <w:rPr>
          <w:rFonts w:ascii="Arial" w:hAnsi="Arial" w:cs="Arial"/>
          <w:b/>
          <w:color w:val="666666"/>
          <w:sz w:val="36"/>
          <w:szCs w:val="36"/>
        </w:rPr>
        <w:t>Sub-title: Company’s Name</w:t>
      </w:r>
    </w:p>
    <w:p w:rsidR="008C60AD" w:rsidRDefault="00120E6E">
      <w:pPr>
        <w:pStyle w:val="NormalWeb"/>
        <w:spacing w:before="0" w:after="0" w:line="276"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51480</wp:posOffset>
                </wp:positionH>
                <wp:positionV relativeFrom="paragraph">
                  <wp:posOffset>-68040</wp:posOffset>
                </wp:positionV>
                <wp:extent cx="6248520" cy="9360"/>
                <wp:effectExtent l="0" t="0" r="37980" b="28740"/>
                <wp:wrapNone/>
                <wp:docPr id="4" name="Shape1"/>
                <wp:cNvGraphicFramePr/>
                <a:graphic xmlns:a="http://schemas.openxmlformats.org/drawingml/2006/main">
                  <a:graphicData uri="http://schemas.microsoft.com/office/word/2010/wordprocessingShape">
                    <wps:wsp>
                      <wps:cNvCnPr/>
                      <wps:spPr>
                        <a:xfrm flipV="1">
                          <a:off x="0" y="0"/>
                          <a:ext cx="6248520" cy="9360"/>
                        </a:xfrm>
                        <a:prstGeom prst="line">
                          <a:avLst/>
                        </a:prstGeom>
                        <a:noFill/>
                        <a:ln w="14760">
                          <a:solidFill>
                            <a:srgbClr val="009933"/>
                          </a:solidFill>
                          <a:prstDash val="solid"/>
                        </a:ln>
                      </wps:spPr>
                      <wps:bodyPr/>
                    </wps:wsp>
                  </a:graphicData>
                </a:graphic>
              </wp:anchor>
            </w:drawing>
          </mc:Choice>
          <mc:Fallback>
            <w:pict>
              <v:line w14:anchorId="120667FE" id="Shape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05pt,-5.35pt" to="496.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" strokecolor="#093" strokeweight=".41mm"/>
            </w:pict>
          </mc:Fallback>
        </mc:AlternateContent>
      </w:r>
    </w:p>
    <w:p w:rsidR="008C60AD" w:rsidRDefault="008C60AD">
      <w:pPr>
        <w:pStyle w:val="NormalWeb"/>
        <w:spacing w:before="0" w:after="0" w:line="276" w:lineRule="auto"/>
        <w:jc w:val="both"/>
        <w:rPr>
          <w:rFonts w:ascii="Arial" w:hAnsi="Arial" w:cs="Arial"/>
          <w:sz w:val="20"/>
          <w:szCs w:val="20"/>
        </w:rPr>
      </w:pPr>
    </w:p>
    <w:tbl>
      <w:tblPr>
        <w:tblW w:w="9919" w:type="dxa"/>
        <w:tblInd w:w="-37" w:type="dxa"/>
        <w:tblLayout w:type="fixed"/>
        <w:tblCellMar>
          <w:left w:w="10" w:type="dxa"/>
          <w:right w:w="10" w:type="dxa"/>
        </w:tblCellMar>
        <w:tblLook w:val="0000" w:firstRow="0" w:lastRow="0" w:firstColumn="0" w:lastColumn="0" w:noHBand="0" w:noVBand="0"/>
      </w:tblPr>
      <w:tblGrid>
        <w:gridCol w:w="2894"/>
        <w:gridCol w:w="7025"/>
      </w:tblGrid>
      <w:tr w:rsidR="008C60AD">
        <w:tc>
          <w:tcPr>
            <w:tcW w:w="2894" w:type="dxa"/>
            <w:tcBorders>
              <w:top w:val="outset" w:sz="18" w:space="0" w:color="009933"/>
              <w:left w:val="outset" w:sz="18" w:space="0" w:color="009933"/>
              <w:bottom w:val="outset" w:sz="18" w:space="0" w:color="009933"/>
              <w:right w:val="outset" w:sz="18" w:space="0" w:color="009933"/>
            </w:tcBorders>
            <w:tcMar>
              <w:top w:w="15" w:type="dxa"/>
              <w:left w:w="37" w:type="dxa"/>
              <w:bottom w:w="15" w:type="dxa"/>
              <w:right w:w="15" w:type="dxa"/>
            </w:tcMar>
          </w:tcPr>
          <w:p w:rsidR="008C60AD" w:rsidRDefault="00120E6E">
            <w:pPr>
              <w:pStyle w:val="Standard"/>
              <w:spacing w:before="280" w:after="280"/>
              <w:rPr>
                <w:rFonts w:eastAsia="Times New Roman" w:cs="Arial"/>
                <w:b/>
                <w:bCs/>
                <w:color w:val="666666"/>
                <w:lang w:eastAsia="en-AU"/>
              </w:rPr>
            </w:pPr>
            <w:r>
              <w:rPr>
                <w:rFonts w:eastAsia="Times New Roman" w:cs="Arial"/>
                <w:b/>
                <w:bCs/>
                <w:color w:val="666666"/>
                <w:lang w:eastAsia="en-AU"/>
              </w:rPr>
              <w:t>Supporting documents, procedures &amp; forms of this policy</w:t>
            </w:r>
          </w:p>
        </w:tc>
        <w:tc>
          <w:tcPr>
            <w:tcW w:w="7025" w:type="dxa"/>
            <w:tcBorders>
              <w:top w:val="outset" w:sz="18" w:space="0" w:color="009933"/>
              <w:left w:val="outset" w:sz="18" w:space="0" w:color="009933"/>
              <w:bottom w:val="outset" w:sz="18" w:space="0" w:color="009933"/>
              <w:right w:val="outset" w:sz="18" w:space="0" w:color="009933"/>
            </w:tcBorders>
            <w:tcMar>
              <w:top w:w="15" w:type="dxa"/>
              <w:left w:w="37" w:type="dxa"/>
              <w:bottom w:w="15" w:type="dxa"/>
              <w:right w:w="15" w:type="dxa"/>
            </w:tcMar>
          </w:tcPr>
          <w:p w:rsidR="008C60AD" w:rsidRDefault="008C60AD">
            <w:pPr>
              <w:pStyle w:val="Standard"/>
              <w:spacing w:before="280" w:after="280"/>
              <w:rPr>
                <w:rFonts w:eastAsia="Times New Roman" w:cs="Arial"/>
                <w:color w:val="666666"/>
                <w:lang w:eastAsia="en-AU"/>
              </w:rPr>
            </w:pPr>
          </w:p>
        </w:tc>
      </w:tr>
      <w:tr w:rsidR="008C60AD">
        <w:tc>
          <w:tcPr>
            <w:tcW w:w="2894" w:type="dxa"/>
            <w:tcBorders>
              <w:top w:val="outset" w:sz="18" w:space="0" w:color="009933"/>
              <w:left w:val="outset" w:sz="18" w:space="0" w:color="009933"/>
              <w:bottom w:val="outset" w:sz="18" w:space="0" w:color="009933"/>
              <w:right w:val="outset" w:sz="18" w:space="0" w:color="009933"/>
            </w:tcBorders>
            <w:tcMar>
              <w:top w:w="15" w:type="dxa"/>
              <w:left w:w="37" w:type="dxa"/>
              <w:bottom w:w="15" w:type="dxa"/>
              <w:right w:w="15" w:type="dxa"/>
            </w:tcMar>
          </w:tcPr>
          <w:p w:rsidR="008C60AD" w:rsidRDefault="00120E6E">
            <w:pPr>
              <w:pStyle w:val="Standard"/>
              <w:spacing w:before="280" w:after="280"/>
              <w:rPr>
                <w:rFonts w:eastAsia="Times New Roman" w:cs="Arial"/>
                <w:b/>
                <w:bCs/>
                <w:color w:val="666666"/>
                <w:lang w:eastAsia="en-AU"/>
              </w:rPr>
            </w:pPr>
            <w:r>
              <w:rPr>
                <w:rFonts w:eastAsia="Times New Roman" w:cs="Arial"/>
                <w:b/>
                <w:bCs/>
                <w:color w:val="666666"/>
                <w:lang w:eastAsia="en-AU"/>
              </w:rPr>
              <w:t>References &amp; Legislation</w:t>
            </w:r>
          </w:p>
        </w:tc>
        <w:tc>
          <w:tcPr>
            <w:tcW w:w="7025" w:type="dxa"/>
            <w:tcBorders>
              <w:top w:val="outset" w:sz="18" w:space="0" w:color="009933"/>
              <w:left w:val="outset" w:sz="18" w:space="0" w:color="009933"/>
              <w:bottom w:val="outset" w:sz="18" w:space="0" w:color="009933"/>
              <w:right w:val="outset" w:sz="18" w:space="0" w:color="009933"/>
            </w:tcBorders>
            <w:tcMar>
              <w:top w:w="15" w:type="dxa"/>
              <w:left w:w="37" w:type="dxa"/>
              <w:bottom w:w="15" w:type="dxa"/>
              <w:right w:w="15" w:type="dxa"/>
            </w:tcMar>
          </w:tcPr>
          <w:p w:rsidR="008C60AD" w:rsidRDefault="008C60AD">
            <w:pPr>
              <w:pStyle w:val="Standard"/>
              <w:ind w:left="720"/>
              <w:rPr>
                <w:rFonts w:eastAsia="Times New Roman" w:cs="Arial"/>
                <w:iCs/>
                <w:color w:val="666666"/>
                <w:lang w:eastAsia="en-AU"/>
              </w:rPr>
            </w:pPr>
          </w:p>
        </w:tc>
      </w:tr>
      <w:tr w:rsidR="008C60AD">
        <w:tc>
          <w:tcPr>
            <w:tcW w:w="2894" w:type="dxa"/>
            <w:tcBorders>
              <w:top w:val="outset" w:sz="18" w:space="0" w:color="009933"/>
              <w:left w:val="outset" w:sz="18" w:space="0" w:color="009933"/>
              <w:bottom w:val="outset" w:sz="18" w:space="0" w:color="009933"/>
              <w:right w:val="outset" w:sz="18" w:space="0" w:color="009933"/>
            </w:tcBorders>
            <w:tcMar>
              <w:top w:w="15" w:type="dxa"/>
              <w:left w:w="37" w:type="dxa"/>
              <w:bottom w:w="15" w:type="dxa"/>
              <w:right w:w="15" w:type="dxa"/>
            </w:tcMar>
          </w:tcPr>
          <w:p w:rsidR="008C60AD" w:rsidRDefault="00120E6E">
            <w:pPr>
              <w:pStyle w:val="Standard"/>
              <w:spacing w:before="280" w:after="280"/>
              <w:rPr>
                <w:rFonts w:eastAsia="Times New Roman" w:cs="Arial"/>
                <w:b/>
                <w:bCs/>
                <w:color w:val="666666"/>
                <w:lang w:eastAsia="en-AU"/>
              </w:rPr>
            </w:pPr>
            <w:r>
              <w:rPr>
                <w:rFonts w:eastAsia="Times New Roman" w:cs="Arial"/>
                <w:b/>
                <w:bCs/>
                <w:color w:val="666666"/>
                <w:lang w:eastAsia="en-AU"/>
              </w:rPr>
              <w:t>Audience</w:t>
            </w:r>
          </w:p>
        </w:tc>
        <w:tc>
          <w:tcPr>
            <w:tcW w:w="7025" w:type="dxa"/>
            <w:tcBorders>
              <w:top w:val="outset" w:sz="18" w:space="0" w:color="009933"/>
              <w:left w:val="outset" w:sz="18" w:space="0" w:color="009933"/>
              <w:bottom w:val="outset" w:sz="18" w:space="0" w:color="009933"/>
              <w:right w:val="outset" w:sz="18" w:space="0" w:color="009933"/>
            </w:tcBorders>
            <w:tcMar>
              <w:top w:w="15" w:type="dxa"/>
              <w:left w:w="37" w:type="dxa"/>
              <w:bottom w:w="15" w:type="dxa"/>
              <w:right w:w="15" w:type="dxa"/>
            </w:tcMar>
          </w:tcPr>
          <w:p w:rsidR="008C60AD" w:rsidRDefault="00120E6E">
            <w:pPr>
              <w:pStyle w:val="Standard"/>
              <w:spacing w:before="280" w:after="280"/>
              <w:rPr>
                <w:rFonts w:eastAsia="Times New Roman" w:cs="Arial"/>
                <w:color w:val="666666"/>
                <w:lang w:eastAsia="en-AU"/>
              </w:rPr>
            </w:pPr>
            <w:r>
              <w:rPr>
                <w:rFonts w:eastAsia="Times New Roman" w:cs="Arial"/>
                <w:color w:val="666666"/>
                <w:lang w:eastAsia="en-AU"/>
              </w:rPr>
              <w:t>Public – accessible to anyone</w:t>
            </w:r>
          </w:p>
        </w:tc>
      </w:tr>
      <w:tr w:rsidR="008C60AD">
        <w:trPr>
          <w:trHeight w:val="35"/>
        </w:trPr>
        <w:tc>
          <w:tcPr>
            <w:tcW w:w="2894" w:type="dxa"/>
            <w:tcBorders>
              <w:top w:val="outset" w:sz="18" w:space="0" w:color="009933"/>
              <w:left w:val="outset" w:sz="18" w:space="0" w:color="009933"/>
              <w:bottom w:val="outset" w:sz="18" w:space="0" w:color="009933"/>
              <w:right w:val="outset" w:sz="18" w:space="0" w:color="009933"/>
            </w:tcBorders>
            <w:tcMar>
              <w:top w:w="15" w:type="dxa"/>
              <w:left w:w="37" w:type="dxa"/>
              <w:bottom w:w="15" w:type="dxa"/>
              <w:right w:w="15" w:type="dxa"/>
            </w:tcMar>
          </w:tcPr>
          <w:p w:rsidR="008C60AD" w:rsidRDefault="00120E6E">
            <w:pPr>
              <w:pStyle w:val="Standard"/>
              <w:spacing w:before="280" w:after="280"/>
              <w:rPr>
                <w:rFonts w:eastAsia="Times New Roman" w:cs="Arial"/>
                <w:b/>
                <w:bCs/>
                <w:color w:val="666666"/>
                <w:lang w:eastAsia="en-AU"/>
              </w:rPr>
            </w:pPr>
            <w:r>
              <w:rPr>
                <w:rFonts w:eastAsia="Times New Roman" w:cs="Arial"/>
                <w:b/>
                <w:bCs/>
                <w:color w:val="666666"/>
                <w:lang w:eastAsia="en-AU"/>
              </w:rPr>
              <w:t>Expiry Date of Policy</w:t>
            </w:r>
          </w:p>
        </w:tc>
        <w:tc>
          <w:tcPr>
            <w:tcW w:w="7025" w:type="dxa"/>
            <w:tcBorders>
              <w:top w:val="outset" w:sz="18" w:space="0" w:color="009933"/>
              <w:left w:val="outset" w:sz="18" w:space="0" w:color="009933"/>
              <w:bottom w:val="outset" w:sz="18" w:space="0" w:color="009933"/>
              <w:right w:val="outset" w:sz="18" w:space="0" w:color="009933"/>
            </w:tcBorders>
            <w:tcMar>
              <w:top w:w="15" w:type="dxa"/>
              <w:left w:w="37" w:type="dxa"/>
              <w:bottom w:w="15" w:type="dxa"/>
              <w:right w:w="15" w:type="dxa"/>
            </w:tcMar>
          </w:tcPr>
          <w:p w:rsidR="008C60AD" w:rsidRDefault="00120E6E">
            <w:pPr>
              <w:pStyle w:val="Standard"/>
              <w:spacing w:before="280" w:after="280"/>
              <w:rPr>
                <w:rFonts w:eastAsia="Times New Roman" w:cs="Arial"/>
                <w:color w:val="666666"/>
                <w:lang w:eastAsia="en-AU"/>
              </w:rPr>
            </w:pPr>
            <w:r>
              <w:rPr>
                <w:rFonts w:eastAsia="Times New Roman" w:cs="Arial"/>
                <w:color w:val="666666"/>
                <w:lang w:eastAsia="en-AU"/>
              </w:rPr>
              <w:t>Not applicable</w:t>
            </w:r>
          </w:p>
        </w:tc>
      </w:tr>
    </w:tbl>
    <w:p w:rsidR="008C60AD" w:rsidRDefault="008C60AD">
      <w:pPr>
        <w:pStyle w:val="Standard"/>
        <w:spacing w:line="276" w:lineRule="auto"/>
        <w:jc w:val="both"/>
        <w:rPr>
          <w:rFonts w:ascii="Arial" w:hAnsi="Arial" w:cs="Arial"/>
          <w:sz w:val="20"/>
          <w:szCs w:val="20"/>
        </w:rPr>
      </w:pPr>
    </w:p>
    <w:p w:rsidR="008C60AD" w:rsidRDefault="008C60AD">
      <w:pPr>
        <w:pStyle w:val="NormalWeb"/>
        <w:spacing w:before="0" w:after="0" w:line="276" w:lineRule="auto"/>
        <w:jc w:val="both"/>
        <w:rPr>
          <w:rFonts w:ascii="Arial" w:hAnsi="Arial" w:cs="Arial"/>
          <w:sz w:val="20"/>
          <w:szCs w:val="20"/>
        </w:rPr>
      </w:pPr>
    </w:p>
    <w:tbl>
      <w:tblPr>
        <w:tblW w:w="9972" w:type="dxa"/>
        <w:tblLayout w:type="fixed"/>
        <w:tblCellMar>
          <w:left w:w="10" w:type="dxa"/>
          <w:right w:w="10" w:type="dxa"/>
        </w:tblCellMar>
        <w:tblLook w:val="0000" w:firstRow="0" w:lastRow="0" w:firstColumn="0" w:lastColumn="0" w:noHBand="0" w:noVBand="0"/>
      </w:tblPr>
      <w:tblGrid>
        <w:gridCol w:w="9972"/>
      </w:tblGrid>
      <w:tr w:rsidR="008C60AD">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NormalWeb"/>
              <w:shd w:val="clear" w:color="auto" w:fill="009933"/>
              <w:spacing w:before="0" w:after="0" w:line="276" w:lineRule="auto"/>
              <w:jc w:val="both"/>
            </w:pPr>
            <w:r>
              <w:rPr>
                <w:rStyle w:val="StrongEmphasis"/>
                <w:rFonts w:ascii="Liberation Sans" w:hAnsi="Liberation Sans" w:cs="Arial"/>
                <w:color w:val="FFFFFF"/>
              </w:rPr>
              <w:t>TABLE OF CONTENTS</w:t>
            </w:r>
          </w:p>
        </w:tc>
      </w:tr>
      <w:tr w:rsidR="008C60AD">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Contents1"/>
              <w:tabs>
                <w:tab w:val="clear" w:pos="9356"/>
                <w:tab w:val="left" w:pos="440"/>
                <w:tab w:val="right" w:leader="dot" w:pos="9498"/>
              </w:tabs>
              <w:rPr>
                <w:color w:val="666666"/>
              </w:rPr>
            </w:pPr>
            <w:r>
              <w:rPr>
                <w:color w:val="666666"/>
              </w:rPr>
              <w:t>1</w:t>
            </w:r>
            <w:r>
              <w:rPr>
                <w:rFonts w:ascii="Calibri" w:hAnsi="Calibri"/>
                <w:color w:val="666666"/>
                <w:sz w:val="22"/>
                <w:lang w:eastAsia="en-AU"/>
              </w:rPr>
              <w:tab/>
            </w:r>
            <w:r>
              <w:rPr>
                <w:color w:val="666666"/>
              </w:rPr>
              <w:t>Purpose of Policy</w:t>
            </w:r>
            <w:r>
              <w:rPr>
                <w:color w:val="666666"/>
              </w:rPr>
              <w:tab/>
              <w:t>1</w:t>
            </w:r>
          </w:p>
          <w:p w:rsidR="008C60AD" w:rsidRDefault="00120E6E">
            <w:pPr>
              <w:pStyle w:val="Contents1"/>
              <w:rPr>
                <w:color w:val="666666"/>
              </w:rPr>
            </w:pPr>
            <w:r>
              <w:rPr>
                <w:color w:val="666666"/>
              </w:rPr>
              <w:t>1.1 General Policy</w:t>
            </w:r>
            <w:r>
              <w:rPr>
                <w:color w:val="666666"/>
              </w:rPr>
              <w:tab/>
              <w:t>2</w:t>
            </w:r>
          </w:p>
          <w:p w:rsidR="008C60AD" w:rsidRDefault="00120E6E">
            <w:pPr>
              <w:pStyle w:val="Contents1"/>
              <w:rPr>
                <w:color w:val="666666"/>
              </w:rPr>
            </w:pPr>
            <w:r>
              <w:rPr>
                <w:color w:val="666666"/>
              </w:rPr>
              <w:t>2.1 Travel Arrangements</w:t>
            </w:r>
            <w:r>
              <w:rPr>
                <w:color w:val="666666"/>
              </w:rPr>
              <w:tab/>
              <w:t>3</w:t>
            </w:r>
          </w:p>
          <w:p w:rsidR="008C60AD" w:rsidRDefault="00120E6E">
            <w:pPr>
              <w:pStyle w:val="Contents1"/>
              <w:rPr>
                <w:color w:val="666666"/>
              </w:rPr>
            </w:pPr>
            <w:r>
              <w:rPr>
                <w:color w:val="666666"/>
              </w:rPr>
              <w:t>3.1 Department of Foreign Affairs (DFAT) Travel Advice</w:t>
            </w:r>
            <w:r>
              <w:rPr>
                <w:color w:val="666666"/>
              </w:rPr>
              <w:tab/>
              <w:t>5</w:t>
            </w:r>
          </w:p>
          <w:p w:rsidR="008C60AD" w:rsidRDefault="00120E6E">
            <w:pPr>
              <w:pStyle w:val="Contents1"/>
              <w:rPr>
                <w:color w:val="666666"/>
              </w:rPr>
            </w:pPr>
            <w:r>
              <w:rPr>
                <w:color w:val="666666"/>
              </w:rPr>
              <w:t>4.1 Emergency Communications</w:t>
            </w:r>
            <w:r>
              <w:rPr>
                <w:color w:val="666666"/>
              </w:rPr>
              <w:tab/>
              <w:t>6</w:t>
            </w:r>
          </w:p>
          <w:p w:rsidR="008C60AD" w:rsidRDefault="00120E6E">
            <w:pPr>
              <w:pStyle w:val="Contents1"/>
              <w:rPr>
                <w:color w:val="666666"/>
              </w:rPr>
            </w:pPr>
            <w:r>
              <w:rPr>
                <w:color w:val="666666"/>
              </w:rPr>
              <w:t>5.1 Pre-Travel Arrangements</w:t>
            </w:r>
            <w:r>
              <w:rPr>
                <w:color w:val="666666"/>
              </w:rPr>
              <w:tab/>
              <w:t>7</w:t>
            </w:r>
          </w:p>
          <w:p w:rsidR="008C60AD" w:rsidRDefault="00120E6E">
            <w:pPr>
              <w:pStyle w:val="Contents2"/>
              <w:rPr>
                <w:color w:val="666666"/>
              </w:rPr>
            </w:pPr>
            <w:r>
              <w:rPr>
                <w:color w:val="666666"/>
              </w:rPr>
              <w:t>Version Control and Change History</w:t>
            </w:r>
            <w:r>
              <w:rPr>
                <w:color w:val="666666"/>
              </w:rPr>
              <w:tab/>
              <w:t>8</w:t>
            </w:r>
          </w:p>
          <w:p w:rsidR="008C60AD" w:rsidRDefault="008C60AD">
            <w:pPr>
              <w:pStyle w:val="Standard"/>
              <w:tabs>
                <w:tab w:val="right" w:leader="dot" w:pos="9639"/>
              </w:tabs>
              <w:rPr>
                <w:rFonts w:ascii="Liberation Sans" w:hAnsi="Liberation Sans" w:cs="Arial"/>
                <w:b/>
                <w:bCs/>
                <w:color w:val="666666"/>
              </w:rPr>
            </w:pPr>
          </w:p>
        </w:tc>
      </w:tr>
    </w:tbl>
    <w:p w:rsidR="008C60AD" w:rsidRDefault="008C60AD">
      <w:pPr>
        <w:pStyle w:val="NormalWeb"/>
        <w:spacing w:before="0" w:line="276" w:lineRule="auto"/>
        <w:jc w:val="both"/>
        <w:rPr>
          <w:rFonts w:ascii="Liberation Sans" w:hAnsi="Liberation Sans" w:cs="Arial"/>
          <w:b/>
          <w:bCs/>
          <w:color w:val="666666"/>
        </w:rPr>
      </w:pPr>
    </w:p>
    <w:tbl>
      <w:tblPr>
        <w:tblW w:w="9972" w:type="dxa"/>
        <w:tblLayout w:type="fixed"/>
        <w:tblCellMar>
          <w:left w:w="10" w:type="dxa"/>
          <w:right w:w="10" w:type="dxa"/>
        </w:tblCellMar>
        <w:tblLook w:val="0000" w:firstRow="0" w:lastRow="0" w:firstColumn="0" w:lastColumn="0" w:noHBand="0" w:noVBand="0"/>
      </w:tblPr>
      <w:tblGrid>
        <w:gridCol w:w="9972"/>
      </w:tblGrid>
      <w:tr w:rsidR="008C60AD">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NormalWeb"/>
              <w:shd w:val="clear" w:color="auto" w:fill="009933"/>
              <w:spacing w:before="0" w:line="276" w:lineRule="auto"/>
              <w:jc w:val="both"/>
            </w:pPr>
            <w:r>
              <w:rPr>
                <w:rStyle w:val="StrongEmphasis"/>
                <w:rFonts w:ascii="Liberation Sans" w:hAnsi="Liberation Sans" w:cs="Arial"/>
                <w:color w:val="FFFFFF"/>
              </w:rPr>
              <w:t>1 Purpose of Policy</w:t>
            </w:r>
          </w:p>
        </w:tc>
      </w:tr>
      <w:tr w:rsidR="008C60AD">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Default"/>
              <w:spacing w:line="360" w:lineRule="auto"/>
              <w:rPr>
                <w:rFonts w:ascii="Liberation Sans" w:hAnsi="Liberation Sans" w:cs="Arial"/>
                <w:color w:val="666666"/>
                <w:sz w:val="22"/>
                <w:szCs w:val="22"/>
              </w:rPr>
            </w:pPr>
            <w:bookmarkStart w:id="0" w:name="_Hlk515976767"/>
            <w:bookmarkStart w:id="1" w:name="_GoBack"/>
            <w:r>
              <w:rPr>
                <w:rFonts w:ascii="Liberation Sans" w:hAnsi="Liberation Sans" w:cs="Arial"/>
                <w:color w:val="666666"/>
                <w:sz w:val="22"/>
                <w:szCs w:val="22"/>
              </w:rPr>
              <w:t xml:space="preserve">This document sets out the internal policies governing the supply of air, hotel, hire car and travel agency services to …… approved travellers, and the manner and conduct of these in the acquisition and use of those services. </w:t>
            </w:r>
            <w:bookmarkEnd w:id="0"/>
            <w:bookmarkEnd w:id="1"/>
            <w:r>
              <w:rPr>
                <w:rFonts w:ascii="Liberation Sans" w:hAnsi="Liberation Sans" w:cs="Arial"/>
                <w:color w:val="666666"/>
                <w:sz w:val="22"/>
                <w:szCs w:val="22"/>
              </w:rPr>
              <w:t>The objective of this policy is to:</w:t>
            </w:r>
          </w:p>
          <w:p w:rsidR="008C60AD" w:rsidRDefault="00120E6E">
            <w:pPr>
              <w:pStyle w:val="Default"/>
              <w:numPr>
                <w:ilvl w:val="0"/>
                <w:numId w:val="4"/>
              </w:numPr>
              <w:spacing w:line="360" w:lineRule="auto"/>
              <w:rPr>
                <w:rFonts w:ascii="Liberation Sans" w:hAnsi="Liberation Sans" w:cs="Arial"/>
                <w:color w:val="666666"/>
                <w:sz w:val="22"/>
                <w:szCs w:val="22"/>
              </w:rPr>
            </w:pPr>
            <w:r>
              <w:rPr>
                <w:rFonts w:ascii="Liberation Sans" w:hAnsi="Liberation Sans" w:cs="Arial"/>
                <w:color w:val="666666"/>
                <w:sz w:val="22"/>
                <w:szCs w:val="22"/>
              </w:rPr>
              <w:t>Ensure staff have a clear understanding of the policies and guidelines relating to travel undertaken on behalf of the …</w:t>
            </w:r>
          </w:p>
          <w:p w:rsidR="008C60AD" w:rsidRDefault="00120E6E">
            <w:pPr>
              <w:pStyle w:val="Default"/>
              <w:numPr>
                <w:ilvl w:val="0"/>
                <w:numId w:val="3"/>
              </w:numPr>
              <w:spacing w:line="360" w:lineRule="auto"/>
              <w:rPr>
                <w:rFonts w:ascii="Liberation Sans" w:hAnsi="Liberation Sans" w:cs="Arial"/>
                <w:color w:val="666666"/>
                <w:sz w:val="22"/>
                <w:szCs w:val="22"/>
              </w:rPr>
            </w:pPr>
            <w:r>
              <w:rPr>
                <w:rFonts w:ascii="Liberation Sans" w:hAnsi="Liberation Sans" w:cs="Arial"/>
                <w:color w:val="666666"/>
                <w:sz w:val="22"/>
                <w:szCs w:val="22"/>
              </w:rPr>
              <w:lastRenderedPageBreak/>
              <w:t>Provide travellers with a reasonable level of service and comfort which is cost effective, whilst maintaining the safety and wellbeing of staff while travelling.</w:t>
            </w:r>
          </w:p>
          <w:p w:rsidR="008C60AD" w:rsidRDefault="00120E6E">
            <w:pPr>
              <w:pStyle w:val="Default"/>
              <w:numPr>
                <w:ilvl w:val="0"/>
                <w:numId w:val="3"/>
              </w:numPr>
              <w:spacing w:line="360" w:lineRule="auto"/>
              <w:rPr>
                <w:rFonts w:ascii="Liberation Sans" w:hAnsi="Liberation Sans" w:cs="Arial"/>
                <w:color w:val="666666"/>
                <w:sz w:val="22"/>
                <w:szCs w:val="22"/>
              </w:rPr>
            </w:pPr>
            <w:r>
              <w:rPr>
                <w:rFonts w:ascii="Liberation Sans" w:hAnsi="Liberation Sans" w:cs="Arial"/>
                <w:color w:val="666666"/>
                <w:sz w:val="22"/>
                <w:szCs w:val="22"/>
              </w:rPr>
              <w:t>Maximize the organisations ability to better manage travel expenses through the utilisation of discount rates with preferred suppliers and service providers and adoption of “best practice” travel arrangements.</w:t>
            </w:r>
          </w:p>
          <w:p w:rsidR="008C60AD" w:rsidRDefault="00120E6E">
            <w:pPr>
              <w:pStyle w:val="Default"/>
              <w:numPr>
                <w:ilvl w:val="0"/>
                <w:numId w:val="3"/>
              </w:numPr>
              <w:spacing w:line="360" w:lineRule="auto"/>
              <w:rPr>
                <w:rFonts w:ascii="Liberation Sans" w:hAnsi="Liberation Sans" w:cs="Arial"/>
                <w:color w:val="666666"/>
                <w:sz w:val="22"/>
                <w:szCs w:val="22"/>
              </w:rPr>
            </w:pPr>
            <w:r>
              <w:rPr>
                <w:rFonts w:ascii="Liberation Sans" w:hAnsi="Liberation Sans" w:cs="Arial"/>
                <w:color w:val="666666"/>
                <w:sz w:val="22"/>
                <w:szCs w:val="22"/>
              </w:rPr>
              <w:t>Ensure that Travellers who are incurring expenses do so in accordance with this policy and that the organisation meets all legal requirements such as taxation (e.g. fringe benefit tax and travel diaries) and occupational health and safety.</w:t>
            </w:r>
          </w:p>
          <w:p w:rsidR="008C60AD" w:rsidRDefault="00120E6E">
            <w:pPr>
              <w:pStyle w:val="Default"/>
              <w:numPr>
                <w:ilvl w:val="0"/>
                <w:numId w:val="3"/>
              </w:numPr>
              <w:spacing w:after="180" w:line="360" w:lineRule="auto"/>
              <w:jc w:val="both"/>
              <w:rPr>
                <w:rFonts w:ascii="Liberation Sans" w:hAnsi="Liberation Sans" w:cs="Arial"/>
                <w:color w:val="666666"/>
                <w:sz w:val="22"/>
                <w:szCs w:val="22"/>
              </w:rPr>
            </w:pPr>
            <w:r>
              <w:rPr>
                <w:rFonts w:ascii="Liberation Sans" w:hAnsi="Liberation Sans" w:cs="Arial"/>
                <w:color w:val="666666"/>
                <w:sz w:val="22"/>
                <w:szCs w:val="22"/>
              </w:rPr>
              <w:t>Manage travel risk</w:t>
            </w:r>
          </w:p>
        </w:tc>
      </w:tr>
    </w:tbl>
    <w:p w:rsidR="008C60AD" w:rsidRDefault="008C60AD">
      <w:pPr>
        <w:pStyle w:val="Standard"/>
        <w:rPr>
          <w:rFonts w:ascii="Liberation Sans" w:hAnsi="Liberation Sans" w:cs="Arial"/>
          <w:b/>
          <w:bCs/>
          <w:color w:val="666666"/>
        </w:rPr>
      </w:pPr>
    </w:p>
    <w:p w:rsidR="008C60AD" w:rsidRDefault="008C60AD">
      <w:pPr>
        <w:pStyle w:val="Standard"/>
      </w:pPr>
    </w:p>
    <w:tbl>
      <w:tblPr>
        <w:tblW w:w="9972" w:type="dxa"/>
        <w:tblLayout w:type="fixed"/>
        <w:tblCellMar>
          <w:left w:w="10" w:type="dxa"/>
          <w:right w:w="10" w:type="dxa"/>
        </w:tblCellMar>
        <w:tblLook w:val="0000" w:firstRow="0" w:lastRow="0" w:firstColumn="0" w:lastColumn="0" w:noHBand="0" w:noVBand="0"/>
      </w:tblPr>
      <w:tblGrid>
        <w:gridCol w:w="9972"/>
      </w:tblGrid>
      <w:tr w:rsidR="008C60AD">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NormalWeb"/>
              <w:shd w:val="clear" w:color="auto" w:fill="009933"/>
              <w:spacing w:before="0" w:line="276" w:lineRule="auto"/>
              <w:jc w:val="both"/>
            </w:pPr>
            <w:r>
              <w:rPr>
                <w:rStyle w:val="StrongEmphasis"/>
                <w:rFonts w:ascii="Liberation Sans" w:hAnsi="Liberation Sans" w:cs="Arial"/>
                <w:color w:val="FFFFFF"/>
              </w:rPr>
              <w:t>1.1 General Policy</w:t>
            </w:r>
          </w:p>
        </w:tc>
      </w:tr>
      <w:tr w:rsidR="008C60AD">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It is the intent of the ...to allow for adequate accommodations for individuals who are required to travel on ...business. It is also expected that these individuals will use discretion and good judgment in spending ...funds.</w:t>
            </w:r>
          </w:p>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 xml:space="preserve">Each individual traveling for ...business is expected to fill out a Travel Expense Form </w:t>
            </w:r>
            <w:proofErr w:type="gramStart"/>
            <w:r>
              <w:rPr>
                <w:rFonts w:ascii="Liberation Sans" w:hAnsi="Liberation Sans" w:cs="Arial"/>
                <w:color w:val="666666"/>
                <w:sz w:val="22"/>
                <w:szCs w:val="22"/>
              </w:rPr>
              <w:t>in order to</w:t>
            </w:r>
            <w:proofErr w:type="gramEnd"/>
            <w:r>
              <w:rPr>
                <w:rFonts w:ascii="Liberation Sans" w:hAnsi="Liberation Sans" w:cs="Arial"/>
                <w:color w:val="666666"/>
                <w:sz w:val="22"/>
                <w:szCs w:val="22"/>
              </w:rPr>
              <w:t xml:space="preserve"> be reimbursed. Receipts are required for all expenses for site visitors. For any other...travel, receipts are required for all expenses exceeding $20.00. For employees using corporate American Express cards, copies of receipts are to be submitted with the expense report and originals included with the coded monthly credit card statements. For all travellers, completed expense reports must be submitted within 45 days of the conclusion of travel. Corporate credit cards are to be used for ...business only. Personal use of the corporate credit card is strictly </w:t>
            </w:r>
            <w:proofErr w:type="gramStart"/>
            <w:r>
              <w:rPr>
                <w:rFonts w:ascii="Liberation Sans" w:hAnsi="Liberation Sans" w:cs="Arial"/>
                <w:color w:val="666666"/>
                <w:sz w:val="22"/>
                <w:szCs w:val="22"/>
              </w:rPr>
              <w:t>prohibited</w:t>
            </w:r>
            <w:proofErr w:type="gramEnd"/>
            <w:r>
              <w:rPr>
                <w:rFonts w:ascii="Liberation Sans" w:hAnsi="Liberation Sans" w:cs="Arial"/>
                <w:color w:val="666666"/>
                <w:sz w:val="22"/>
                <w:szCs w:val="22"/>
              </w:rPr>
              <w:t xml:space="preserve"> and violations are subject to disciplinary action.</w:t>
            </w:r>
          </w:p>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Responsibilities and Enforcement</w:t>
            </w:r>
          </w:p>
          <w:p w:rsidR="008C60AD" w:rsidRDefault="00120E6E">
            <w:pPr>
              <w:pStyle w:val="Default"/>
              <w:spacing w:line="360" w:lineRule="auto"/>
              <w:rPr>
                <w:rFonts w:ascii="Liberation Sans" w:hAnsi="Liberation Sans" w:cs="Arial"/>
                <w:color w:val="666666"/>
              </w:rPr>
            </w:pPr>
            <w:r>
              <w:rPr>
                <w:rFonts w:ascii="Liberation Sans" w:hAnsi="Liberation Sans" w:cs="Arial"/>
                <w:color w:val="666666"/>
                <w:sz w:val="22"/>
                <w:szCs w:val="22"/>
              </w:rPr>
              <w:t xml:space="preserve">An organized and clear process for submitting expenses is crucial to ensure that all expenses are reimbursed in a timely manner. The Accounting Department is responsible for ensuring that any expenses reimbursed or paid for by the company </w:t>
            </w:r>
            <w:proofErr w:type="gramStart"/>
            <w:r>
              <w:rPr>
                <w:rFonts w:ascii="Liberation Sans" w:hAnsi="Liberation Sans" w:cs="Arial"/>
                <w:color w:val="666666"/>
                <w:sz w:val="22"/>
                <w:szCs w:val="22"/>
              </w:rPr>
              <w:t>are in compliance with</w:t>
            </w:r>
            <w:proofErr w:type="gramEnd"/>
            <w:r>
              <w:rPr>
                <w:rFonts w:ascii="Liberation Sans" w:hAnsi="Liberation Sans" w:cs="Arial"/>
                <w:color w:val="666666"/>
                <w:sz w:val="22"/>
                <w:szCs w:val="22"/>
              </w:rPr>
              <w:t xml:space="preserve"> this Corporate Travel Policy. When submitting a Travel Expense Form, any deviations from the policies detailed within this document must be explained on the expense report and expenses that are not in compliance with this policy require the written approval of the Executive Director. The Accounting Department and the ...management are responsible for ensuring that this Corporate Travel Policy is available to all travellers, travel arrangers, accounts payable staff, and newly hired employees expected to travel.</w:t>
            </w:r>
          </w:p>
        </w:tc>
      </w:tr>
    </w:tbl>
    <w:p w:rsidR="008C60AD" w:rsidRDefault="008C60AD">
      <w:pPr>
        <w:pStyle w:val="Standard"/>
      </w:pPr>
    </w:p>
    <w:p w:rsidR="008C60AD" w:rsidRDefault="008C60AD">
      <w:pPr>
        <w:pStyle w:val="Standard"/>
      </w:pPr>
    </w:p>
    <w:tbl>
      <w:tblPr>
        <w:tblW w:w="9972" w:type="dxa"/>
        <w:tblLayout w:type="fixed"/>
        <w:tblCellMar>
          <w:left w:w="10" w:type="dxa"/>
          <w:right w:w="10" w:type="dxa"/>
        </w:tblCellMar>
        <w:tblLook w:val="0000" w:firstRow="0" w:lastRow="0" w:firstColumn="0" w:lastColumn="0" w:noHBand="0" w:noVBand="0"/>
      </w:tblPr>
      <w:tblGrid>
        <w:gridCol w:w="9972"/>
      </w:tblGrid>
      <w:tr w:rsidR="008C60AD">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NormalWeb"/>
              <w:shd w:val="clear" w:color="auto" w:fill="009933"/>
              <w:spacing w:before="0" w:line="276" w:lineRule="auto"/>
              <w:jc w:val="both"/>
            </w:pPr>
            <w:r>
              <w:rPr>
                <w:rStyle w:val="StrongEmphasis"/>
                <w:rFonts w:ascii="Liberation Sans" w:hAnsi="Liberation Sans" w:cs="Arial"/>
                <w:color w:val="FFFFFF"/>
              </w:rPr>
              <w:lastRenderedPageBreak/>
              <w:t>2.1 Travel Arrangements</w:t>
            </w:r>
          </w:p>
        </w:tc>
      </w:tr>
      <w:tr w:rsidR="008C60AD">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Standard"/>
              <w:rPr>
                <w:color w:val="666666"/>
              </w:rPr>
            </w:pPr>
            <w:r>
              <w:rPr>
                <w:color w:val="666666"/>
              </w:rPr>
              <w:t>Air Travel</w:t>
            </w:r>
          </w:p>
          <w:p w:rsidR="008C60AD" w:rsidRDefault="008C60AD">
            <w:pPr>
              <w:pStyle w:val="Standard"/>
              <w:rPr>
                <w:color w:val="666666"/>
              </w:rPr>
            </w:pPr>
          </w:p>
          <w:p w:rsidR="008C60AD" w:rsidRDefault="00120E6E">
            <w:pPr>
              <w:pStyle w:val="Standard"/>
              <w:rPr>
                <w:color w:val="666666"/>
              </w:rPr>
            </w:pPr>
            <w:r>
              <w:rPr>
                <w:color w:val="666666"/>
              </w:rPr>
              <w:t xml:space="preserve">Reservation Procedures: It is required that reservations for trips requiring air travel be made through the ...travel agent. This will help to simplify travel arrangements, allow the tickets to be billed to the ...account and allow for assistance should issues arise </w:t>
            </w:r>
            <w:proofErr w:type="gramStart"/>
            <w:r>
              <w:rPr>
                <w:color w:val="666666"/>
              </w:rPr>
              <w:t>during the course of</w:t>
            </w:r>
            <w:proofErr w:type="gramEnd"/>
            <w:r>
              <w:rPr>
                <w:color w:val="666666"/>
              </w:rPr>
              <w:t xml:space="preserve"> travel.</w:t>
            </w:r>
          </w:p>
          <w:p w:rsidR="008C60AD" w:rsidRDefault="008C60AD">
            <w:pPr>
              <w:pStyle w:val="Standard"/>
              <w:rPr>
                <w:color w:val="666666"/>
              </w:rPr>
            </w:pPr>
          </w:p>
          <w:p w:rsidR="008C60AD" w:rsidRDefault="00120E6E">
            <w:pPr>
              <w:pStyle w:val="Standard"/>
              <w:rPr>
                <w:color w:val="666666"/>
              </w:rPr>
            </w:pPr>
            <w:r>
              <w:rPr>
                <w:color w:val="666666"/>
              </w:rPr>
              <w:t>Class of Service: All individuals traveling on ...business must travel in economy class unless using a free upgrade or have prior approval from the Executive Director.</w:t>
            </w:r>
          </w:p>
          <w:p w:rsidR="008C60AD" w:rsidRDefault="008C60AD">
            <w:pPr>
              <w:pStyle w:val="Standard"/>
              <w:rPr>
                <w:color w:val="666666"/>
              </w:rPr>
            </w:pPr>
          </w:p>
          <w:p w:rsidR="008C60AD" w:rsidRDefault="00120E6E">
            <w:pPr>
              <w:pStyle w:val="Standard"/>
              <w:rPr>
                <w:color w:val="666666"/>
              </w:rPr>
            </w:pPr>
            <w:r>
              <w:rPr>
                <w:color w:val="666666"/>
              </w:rPr>
              <w:t>Lowest Available Airfare: All airline tickets must be booked at the lowest available airfare.</w:t>
            </w:r>
          </w:p>
          <w:p w:rsidR="008C60AD" w:rsidRDefault="008C60AD">
            <w:pPr>
              <w:pStyle w:val="Standard"/>
              <w:rPr>
                <w:color w:val="666666"/>
              </w:rPr>
            </w:pPr>
          </w:p>
          <w:p w:rsidR="008C60AD" w:rsidRDefault="00120E6E">
            <w:pPr>
              <w:pStyle w:val="Standard"/>
              <w:rPr>
                <w:color w:val="666666"/>
              </w:rPr>
            </w:pPr>
            <w:r>
              <w:rPr>
                <w:color w:val="666666"/>
              </w:rPr>
              <w:t xml:space="preserve">The following criteria will be </w:t>
            </w:r>
            <w:proofErr w:type="spellStart"/>
            <w:r>
              <w:rPr>
                <w:color w:val="666666"/>
              </w:rPr>
              <w:t>utilised</w:t>
            </w:r>
            <w:proofErr w:type="spellEnd"/>
            <w:r>
              <w:rPr>
                <w:color w:val="666666"/>
              </w:rPr>
              <w:t xml:space="preserve"> to determine lowest available airfare.</w:t>
            </w:r>
          </w:p>
          <w:p w:rsidR="008C60AD" w:rsidRDefault="008C60AD">
            <w:pPr>
              <w:pStyle w:val="Standard"/>
              <w:rPr>
                <w:color w:val="666666"/>
              </w:rPr>
            </w:pPr>
          </w:p>
          <w:p w:rsidR="008C60AD" w:rsidRDefault="00120E6E">
            <w:pPr>
              <w:pStyle w:val="Standard"/>
              <w:rPr>
                <w:color w:val="666666"/>
              </w:rPr>
            </w:pPr>
            <w:r>
              <w:rPr>
                <w:color w:val="666666"/>
              </w:rPr>
              <w:t>• The flight’s departure or arrival time is within two hours before the requested departure or arrival time;</w:t>
            </w:r>
          </w:p>
          <w:p w:rsidR="008C60AD" w:rsidRDefault="008C60AD">
            <w:pPr>
              <w:pStyle w:val="Standard"/>
              <w:rPr>
                <w:color w:val="666666"/>
              </w:rPr>
            </w:pPr>
          </w:p>
          <w:p w:rsidR="008C60AD" w:rsidRDefault="00120E6E">
            <w:pPr>
              <w:pStyle w:val="Standard"/>
              <w:rPr>
                <w:color w:val="666666"/>
              </w:rPr>
            </w:pPr>
            <w:r>
              <w:rPr>
                <w:color w:val="666666"/>
              </w:rPr>
              <w:t>• One stop or connecting flights must be booked if savings of $200 or more can be achieved;</w:t>
            </w:r>
          </w:p>
          <w:p w:rsidR="008C60AD" w:rsidRDefault="008C60AD">
            <w:pPr>
              <w:pStyle w:val="Standard"/>
              <w:rPr>
                <w:color w:val="666666"/>
              </w:rPr>
            </w:pPr>
          </w:p>
          <w:p w:rsidR="008C60AD" w:rsidRDefault="00120E6E">
            <w:pPr>
              <w:pStyle w:val="Standard"/>
              <w:rPr>
                <w:color w:val="666666"/>
              </w:rPr>
            </w:pPr>
            <w:r>
              <w:rPr>
                <w:color w:val="666666"/>
              </w:rPr>
              <w:t xml:space="preserve">• </w:t>
            </w:r>
            <w:proofErr w:type="spellStart"/>
            <w:r>
              <w:rPr>
                <w:color w:val="666666"/>
              </w:rPr>
              <w:t>Travellers</w:t>
            </w:r>
            <w:proofErr w:type="spellEnd"/>
            <w:r>
              <w:rPr>
                <w:color w:val="666666"/>
              </w:rPr>
              <w:t xml:space="preserve"> may not specify a preferred carrier if a significantly lower cost fare is available.</w:t>
            </w:r>
          </w:p>
          <w:p w:rsidR="008C60AD" w:rsidRDefault="008C60AD">
            <w:pPr>
              <w:pStyle w:val="Standard"/>
              <w:rPr>
                <w:color w:val="666666"/>
              </w:rPr>
            </w:pPr>
          </w:p>
          <w:p w:rsidR="008C60AD" w:rsidRDefault="00120E6E">
            <w:pPr>
              <w:pStyle w:val="Standard"/>
              <w:rPr>
                <w:color w:val="666666"/>
              </w:rPr>
            </w:pPr>
            <w:r>
              <w:rPr>
                <w:color w:val="666666"/>
              </w:rPr>
              <w:t>Baggage Fees: Baggage fees will be reimbursed.</w:t>
            </w:r>
          </w:p>
          <w:p w:rsidR="008C60AD" w:rsidRDefault="008C60AD">
            <w:pPr>
              <w:pStyle w:val="Standard"/>
              <w:rPr>
                <w:color w:val="666666"/>
              </w:rPr>
            </w:pPr>
          </w:p>
          <w:p w:rsidR="008C60AD" w:rsidRDefault="00120E6E">
            <w:pPr>
              <w:pStyle w:val="Standard"/>
              <w:rPr>
                <w:color w:val="666666"/>
              </w:rPr>
            </w:pPr>
            <w:r>
              <w:rPr>
                <w:color w:val="666666"/>
              </w:rPr>
              <w:t>Rebooking Fees: Rebooking or change fees will be reimbursed for emergency situations only.</w:t>
            </w:r>
          </w:p>
          <w:p w:rsidR="008C60AD" w:rsidRDefault="008C60AD">
            <w:pPr>
              <w:pStyle w:val="Standard"/>
              <w:rPr>
                <w:color w:val="666666"/>
              </w:rPr>
            </w:pPr>
          </w:p>
          <w:p w:rsidR="008C60AD" w:rsidRDefault="00120E6E">
            <w:pPr>
              <w:pStyle w:val="Standard"/>
              <w:rPr>
                <w:color w:val="666666"/>
              </w:rPr>
            </w:pPr>
            <w:r>
              <w:rPr>
                <w:color w:val="666666"/>
              </w:rPr>
              <w:t>Accommodation</w:t>
            </w:r>
          </w:p>
          <w:p w:rsidR="008C60AD" w:rsidRDefault="008C60AD">
            <w:pPr>
              <w:pStyle w:val="Standard"/>
              <w:rPr>
                <w:color w:val="666666"/>
              </w:rPr>
            </w:pPr>
          </w:p>
          <w:p w:rsidR="008C60AD" w:rsidRDefault="00120E6E">
            <w:pPr>
              <w:pStyle w:val="Standard"/>
              <w:rPr>
                <w:color w:val="666666"/>
              </w:rPr>
            </w:pPr>
            <w:r>
              <w:rPr>
                <w:color w:val="666666"/>
              </w:rPr>
              <w:t>Accommodation Selection</w:t>
            </w:r>
          </w:p>
          <w:p w:rsidR="008C60AD" w:rsidRDefault="008C60AD">
            <w:pPr>
              <w:pStyle w:val="Standard"/>
              <w:rPr>
                <w:color w:val="666666"/>
              </w:rPr>
            </w:pPr>
          </w:p>
          <w:p w:rsidR="008C60AD" w:rsidRDefault="00120E6E">
            <w:pPr>
              <w:pStyle w:val="Standard"/>
              <w:rPr>
                <w:color w:val="666666"/>
              </w:rPr>
            </w:pPr>
            <w:r>
              <w:rPr>
                <w:color w:val="666666"/>
              </w:rPr>
              <w:t>…is responsible for making the hotel arrangements for staff.</w:t>
            </w:r>
          </w:p>
          <w:p w:rsidR="008C60AD" w:rsidRDefault="008C60AD">
            <w:pPr>
              <w:pStyle w:val="Standard"/>
              <w:rPr>
                <w:color w:val="666666"/>
              </w:rPr>
            </w:pPr>
          </w:p>
          <w:p w:rsidR="008C60AD" w:rsidRDefault="00120E6E">
            <w:pPr>
              <w:pStyle w:val="Standard"/>
              <w:rPr>
                <w:color w:val="666666"/>
              </w:rPr>
            </w:pPr>
            <w:r>
              <w:rPr>
                <w:color w:val="666666"/>
              </w:rPr>
              <w:t>Room Type: Unless otherwise specified, a standard non-smoking room is automatically reserved</w:t>
            </w:r>
          </w:p>
          <w:p w:rsidR="008C60AD" w:rsidRDefault="00120E6E">
            <w:pPr>
              <w:pStyle w:val="Standard"/>
              <w:rPr>
                <w:color w:val="666666"/>
              </w:rPr>
            </w:pPr>
            <w:r>
              <w:rPr>
                <w:color w:val="666666"/>
              </w:rPr>
              <w:t xml:space="preserve">Hotel Rooms If desired, for travel </w:t>
            </w:r>
            <w:proofErr w:type="gramStart"/>
            <w:r>
              <w:rPr>
                <w:color w:val="666666"/>
              </w:rPr>
              <w:t>in excess of</w:t>
            </w:r>
            <w:proofErr w:type="gramEnd"/>
            <w:r>
              <w:rPr>
                <w:color w:val="666666"/>
              </w:rPr>
              <w:t xml:space="preserve"> 50 KM, each way, hotel rooms will be arranged for the attending employee. For travel less than 50 KM, each way, the Executive Director must grant approval if a hotel room is requested. The cost of the hotel rooms and related taxes and service charges are master billed to the ...account. </w:t>
            </w:r>
            <w:proofErr w:type="gramStart"/>
            <w:r>
              <w:rPr>
                <w:color w:val="666666"/>
              </w:rPr>
              <w:t>Each individual</w:t>
            </w:r>
            <w:proofErr w:type="gramEnd"/>
            <w:r>
              <w:rPr>
                <w:color w:val="666666"/>
              </w:rPr>
              <w:t xml:space="preserve"> is asked to present a credit card upon check in for incidental charges.</w:t>
            </w:r>
          </w:p>
          <w:p w:rsidR="008C60AD" w:rsidRDefault="008C60AD">
            <w:pPr>
              <w:pStyle w:val="Standard"/>
              <w:rPr>
                <w:color w:val="666666"/>
              </w:rPr>
            </w:pPr>
          </w:p>
          <w:p w:rsidR="008C60AD" w:rsidRDefault="00120E6E">
            <w:pPr>
              <w:pStyle w:val="Standard"/>
              <w:rPr>
                <w:color w:val="666666"/>
              </w:rPr>
            </w:pPr>
            <w:r>
              <w:rPr>
                <w:color w:val="666666"/>
              </w:rPr>
              <w:t>Car Rentals</w:t>
            </w:r>
          </w:p>
          <w:p w:rsidR="008C60AD" w:rsidRDefault="008C60AD">
            <w:pPr>
              <w:pStyle w:val="Standard"/>
              <w:rPr>
                <w:color w:val="666666"/>
              </w:rPr>
            </w:pPr>
          </w:p>
          <w:p w:rsidR="008C60AD" w:rsidRDefault="00120E6E">
            <w:pPr>
              <w:pStyle w:val="Standard"/>
              <w:rPr>
                <w:color w:val="666666"/>
              </w:rPr>
            </w:pPr>
            <w:r>
              <w:rPr>
                <w:color w:val="666666"/>
              </w:rPr>
              <w:t xml:space="preserve">Cars should be rented by individuals traveling on ...business only when other means of transportation are unavailable, </w:t>
            </w:r>
            <w:proofErr w:type="gramStart"/>
            <w:r>
              <w:rPr>
                <w:color w:val="666666"/>
              </w:rPr>
              <w:t>more costly</w:t>
            </w:r>
            <w:proofErr w:type="gramEnd"/>
            <w:r>
              <w:rPr>
                <w:color w:val="666666"/>
              </w:rPr>
              <w:t xml:space="preserve">, or impractical. </w:t>
            </w:r>
            <w:proofErr w:type="spellStart"/>
            <w:r>
              <w:rPr>
                <w:color w:val="666666"/>
              </w:rPr>
              <w:t>Travellers</w:t>
            </w:r>
            <w:proofErr w:type="spellEnd"/>
            <w:r>
              <w:rPr>
                <w:color w:val="666666"/>
              </w:rPr>
              <w:t xml:space="preserve"> must obtain the most competitive rate available.</w:t>
            </w:r>
          </w:p>
          <w:p w:rsidR="008C60AD" w:rsidRDefault="008C60AD">
            <w:pPr>
              <w:pStyle w:val="Standard"/>
              <w:rPr>
                <w:color w:val="666666"/>
              </w:rPr>
            </w:pPr>
          </w:p>
          <w:p w:rsidR="008C60AD" w:rsidRDefault="00120E6E">
            <w:pPr>
              <w:pStyle w:val="Standard"/>
              <w:rPr>
                <w:color w:val="666666"/>
              </w:rPr>
            </w:pPr>
            <w:r>
              <w:rPr>
                <w:color w:val="666666"/>
              </w:rPr>
              <w:t>Size Limit: All rentals should be for intermediate size cars or smaller, unless 3 or more people are traveling together or if an upgrade is provided by the rental company at no cost.</w:t>
            </w:r>
          </w:p>
          <w:p w:rsidR="008C60AD" w:rsidRDefault="008C60AD">
            <w:pPr>
              <w:pStyle w:val="Standard"/>
              <w:rPr>
                <w:color w:val="666666"/>
              </w:rPr>
            </w:pPr>
          </w:p>
          <w:p w:rsidR="008C60AD" w:rsidRDefault="00120E6E">
            <w:pPr>
              <w:pStyle w:val="Standard"/>
              <w:rPr>
                <w:color w:val="666666"/>
              </w:rPr>
            </w:pPr>
            <w:r>
              <w:rPr>
                <w:color w:val="666666"/>
              </w:rPr>
              <w:lastRenderedPageBreak/>
              <w:t xml:space="preserve">Car Rental Insurance: </w:t>
            </w:r>
            <w:proofErr w:type="spellStart"/>
            <w:r>
              <w:rPr>
                <w:color w:val="666666"/>
              </w:rPr>
              <w:t>Travellers</w:t>
            </w:r>
            <w:proofErr w:type="spellEnd"/>
            <w:r>
              <w:rPr>
                <w:color w:val="666666"/>
              </w:rPr>
              <w:t xml:space="preserve"> paying for a rental car using a credit card may receive limited loss and damage coverage through the credit card company or through their personal insurance and should review the terms of such coverage. Options for insurance should be researched prior to renting a car and unnecessary optional coverage avoided.</w:t>
            </w:r>
          </w:p>
          <w:p w:rsidR="008C60AD" w:rsidRDefault="008C60AD">
            <w:pPr>
              <w:pStyle w:val="Standard"/>
              <w:rPr>
                <w:color w:val="666666"/>
              </w:rPr>
            </w:pPr>
          </w:p>
          <w:p w:rsidR="008C60AD" w:rsidRDefault="00120E6E">
            <w:pPr>
              <w:pStyle w:val="Standard"/>
              <w:rPr>
                <w:color w:val="666666"/>
              </w:rPr>
            </w:pPr>
            <w:proofErr w:type="spellStart"/>
            <w:r>
              <w:rPr>
                <w:color w:val="666666"/>
              </w:rPr>
              <w:t>Refuelling</w:t>
            </w:r>
            <w:proofErr w:type="spellEnd"/>
            <w:r>
              <w:rPr>
                <w:color w:val="666666"/>
              </w:rPr>
              <w:t>: When renting cars, individuals are required to refuel cars prior to returning them to the rental company.</w:t>
            </w:r>
          </w:p>
          <w:p w:rsidR="008C60AD" w:rsidRDefault="008C60AD">
            <w:pPr>
              <w:pStyle w:val="Standard"/>
              <w:rPr>
                <w:color w:val="666666"/>
              </w:rPr>
            </w:pPr>
          </w:p>
          <w:p w:rsidR="008C60AD" w:rsidRDefault="00120E6E">
            <w:pPr>
              <w:pStyle w:val="Standard"/>
              <w:rPr>
                <w:color w:val="666666"/>
              </w:rPr>
            </w:pPr>
            <w:r>
              <w:rPr>
                <w:color w:val="666666"/>
              </w:rPr>
              <w:t>Other Transportation</w:t>
            </w:r>
          </w:p>
          <w:p w:rsidR="008C60AD" w:rsidRDefault="008C60AD">
            <w:pPr>
              <w:pStyle w:val="Standard"/>
              <w:rPr>
                <w:color w:val="666666"/>
              </w:rPr>
            </w:pPr>
          </w:p>
          <w:p w:rsidR="008C60AD" w:rsidRDefault="00120E6E">
            <w:pPr>
              <w:pStyle w:val="Standard"/>
              <w:rPr>
                <w:color w:val="666666"/>
              </w:rPr>
            </w:pPr>
            <w:r>
              <w:rPr>
                <w:color w:val="666666"/>
              </w:rPr>
              <w:t xml:space="preserve">Personal Car: </w:t>
            </w:r>
            <w:proofErr w:type="spellStart"/>
            <w:r>
              <w:rPr>
                <w:color w:val="666666"/>
              </w:rPr>
              <w:t>Travellers</w:t>
            </w:r>
            <w:proofErr w:type="spellEnd"/>
            <w:r>
              <w:rPr>
                <w:color w:val="666666"/>
              </w:rPr>
              <w:t xml:space="preserve"> may utilize personal cars for ...business travel if it is less expensive than renting a car, taking a taxi, or using alternate transportation. The use of personal cars for business will be reimbursed at the standard rate set by the ATO.</w:t>
            </w:r>
          </w:p>
          <w:p w:rsidR="008C60AD" w:rsidRDefault="008C60AD">
            <w:pPr>
              <w:pStyle w:val="Standard"/>
              <w:rPr>
                <w:color w:val="666666"/>
              </w:rPr>
            </w:pPr>
          </w:p>
          <w:p w:rsidR="008C60AD" w:rsidRDefault="00120E6E">
            <w:pPr>
              <w:pStyle w:val="Standard"/>
              <w:rPr>
                <w:color w:val="666666"/>
              </w:rPr>
            </w:pPr>
            <w:r>
              <w:rPr>
                <w:color w:val="666666"/>
              </w:rPr>
              <w:t xml:space="preserve">Taxis and Other Local Transportation: The cost of taxis to and from places of business, hotels, airports or rail stations in connection with business activities is reimbursable. Use of taxis is discouraged when more economical services (i.e.: airport shuttles, hotel vans, etc.) are available. </w:t>
            </w:r>
            <w:proofErr w:type="spellStart"/>
            <w:r>
              <w:rPr>
                <w:color w:val="666666"/>
              </w:rPr>
              <w:t>Travellers</w:t>
            </w:r>
            <w:proofErr w:type="spellEnd"/>
            <w:r>
              <w:rPr>
                <w:color w:val="666666"/>
              </w:rPr>
              <w:t xml:space="preserve"> are encouraged to utilize public transportation whenever feasible.</w:t>
            </w:r>
          </w:p>
          <w:p w:rsidR="008C60AD" w:rsidRDefault="008C60AD">
            <w:pPr>
              <w:pStyle w:val="Standard"/>
              <w:rPr>
                <w:color w:val="666666"/>
              </w:rPr>
            </w:pPr>
          </w:p>
          <w:p w:rsidR="008C60AD" w:rsidRDefault="00120E6E">
            <w:pPr>
              <w:pStyle w:val="Standard"/>
              <w:rPr>
                <w:color w:val="666666"/>
              </w:rPr>
            </w:pPr>
            <w:r>
              <w:rPr>
                <w:color w:val="666666"/>
              </w:rPr>
              <w:t>Meals and Entertainment</w:t>
            </w:r>
          </w:p>
          <w:p w:rsidR="008C60AD" w:rsidRDefault="008C60AD">
            <w:pPr>
              <w:pStyle w:val="Standard"/>
              <w:rPr>
                <w:color w:val="666666"/>
              </w:rPr>
            </w:pPr>
          </w:p>
          <w:p w:rsidR="008C60AD" w:rsidRDefault="00120E6E">
            <w:pPr>
              <w:pStyle w:val="Standard"/>
              <w:rPr>
                <w:color w:val="666666"/>
              </w:rPr>
            </w:pPr>
            <w:r>
              <w:rPr>
                <w:color w:val="666666"/>
              </w:rPr>
              <w:t>Personal Meal expenses are those incurred by those traveling on ...business when dining alone.</w:t>
            </w:r>
          </w:p>
          <w:p w:rsidR="008C60AD" w:rsidRDefault="008C60AD">
            <w:pPr>
              <w:pStyle w:val="Standard"/>
              <w:rPr>
                <w:color w:val="666666"/>
              </w:rPr>
            </w:pPr>
          </w:p>
          <w:p w:rsidR="008C60AD" w:rsidRDefault="00120E6E">
            <w:pPr>
              <w:pStyle w:val="Standard"/>
              <w:rPr>
                <w:color w:val="666666"/>
              </w:rPr>
            </w:pPr>
            <w:r>
              <w:rPr>
                <w:color w:val="666666"/>
              </w:rPr>
              <w:t>Personal meals must be itemized by meal and will be reimbursed up to $80/day and include breakfast, lunch, dinner and any snacks, drinks, etc. Cost of alcoholic beverages will not be reimbursed.</w:t>
            </w:r>
          </w:p>
          <w:p w:rsidR="008C60AD" w:rsidRDefault="008C60AD">
            <w:pPr>
              <w:pStyle w:val="Standard"/>
              <w:rPr>
                <w:color w:val="666666"/>
              </w:rPr>
            </w:pPr>
          </w:p>
          <w:p w:rsidR="008C60AD" w:rsidRDefault="00120E6E">
            <w:pPr>
              <w:pStyle w:val="Standard"/>
              <w:rPr>
                <w:color w:val="666666"/>
              </w:rPr>
            </w:pPr>
            <w:r>
              <w:rPr>
                <w:color w:val="666666"/>
              </w:rPr>
              <w:t>Award Point Programs</w:t>
            </w:r>
          </w:p>
          <w:p w:rsidR="008C60AD" w:rsidRDefault="008C60AD">
            <w:pPr>
              <w:pStyle w:val="Standard"/>
              <w:rPr>
                <w:color w:val="666666"/>
              </w:rPr>
            </w:pPr>
          </w:p>
          <w:p w:rsidR="008C60AD" w:rsidRDefault="00120E6E">
            <w:pPr>
              <w:pStyle w:val="Standard"/>
              <w:rPr>
                <w:color w:val="666666"/>
              </w:rPr>
            </w:pPr>
            <w:r>
              <w:rPr>
                <w:color w:val="666666"/>
              </w:rPr>
              <w:t>Individuals traveling for ...may retain award points and utilize the rewards for personal purposes.</w:t>
            </w:r>
          </w:p>
          <w:p w:rsidR="008C60AD" w:rsidRDefault="008C60AD">
            <w:pPr>
              <w:pStyle w:val="Standard"/>
              <w:rPr>
                <w:color w:val="666666"/>
              </w:rPr>
            </w:pPr>
          </w:p>
          <w:p w:rsidR="008C60AD" w:rsidRDefault="00120E6E">
            <w:pPr>
              <w:pStyle w:val="Standard"/>
              <w:rPr>
                <w:color w:val="666666"/>
              </w:rPr>
            </w:pPr>
            <w:r>
              <w:rPr>
                <w:color w:val="666666"/>
              </w:rPr>
              <w:t>However, participation in these programs may not result in any incremental cost to the ...related to transportation or lodging.</w:t>
            </w:r>
          </w:p>
          <w:p w:rsidR="008C60AD" w:rsidRDefault="008C60AD">
            <w:pPr>
              <w:pStyle w:val="Standard"/>
              <w:rPr>
                <w:color w:val="666666"/>
              </w:rPr>
            </w:pPr>
          </w:p>
          <w:p w:rsidR="008C60AD" w:rsidRDefault="00120E6E">
            <w:pPr>
              <w:pStyle w:val="Standard"/>
              <w:rPr>
                <w:color w:val="666666"/>
              </w:rPr>
            </w:pPr>
            <w:r>
              <w:rPr>
                <w:color w:val="666666"/>
              </w:rPr>
              <w:t>Spouse/Guest/Personal Travel Combined with Business</w:t>
            </w:r>
          </w:p>
          <w:p w:rsidR="008C60AD" w:rsidRDefault="008C60AD">
            <w:pPr>
              <w:pStyle w:val="Standard"/>
              <w:rPr>
                <w:color w:val="666666"/>
              </w:rPr>
            </w:pPr>
          </w:p>
          <w:p w:rsidR="008C60AD" w:rsidRDefault="00120E6E">
            <w:pPr>
              <w:pStyle w:val="Standard"/>
              <w:rPr>
                <w:color w:val="666666"/>
              </w:rPr>
            </w:pPr>
            <w:r>
              <w:rPr>
                <w:color w:val="666666"/>
              </w:rPr>
              <w:t xml:space="preserve">Travel expenses for family members or guests are not reimbursable. However, a guest may share accommodations </w:t>
            </w:r>
            <w:proofErr w:type="gramStart"/>
            <w:r>
              <w:rPr>
                <w:color w:val="666666"/>
              </w:rPr>
              <w:t>as long as</w:t>
            </w:r>
            <w:proofErr w:type="gramEnd"/>
            <w:r>
              <w:rPr>
                <w:color w:val="666666"/>
              </w:rPr>
              <w:t xml:space="preserve"> there is no additional cost to the ...as a result.</w:t>
            </w:r>
          </w:p>
          <w:p w:rsidR="008C60AD" w:rsidRDefault="008C60AD">
            <w:pPr>
              <w:pStyle w:val="Standard"/>
              <w:rPr>
                <w:color w:val="666666"/>
              </w:rPr>
            </w:pPr>
          </w:p>
          <w:p w:rsidR="008C60AD" w:rsidRDefault="00120E6E">
            <w:pPr>
              <w:pStyle w:val="Standard"/>
              <w:rPr>
                <w:color w:val="666666"/>
              </w:rPr>
            </w:pPr>
            <w:r>
              <w:rPr>
                <w:color w:val="666666"/>
              </w:rPr>
              <w:t>Telecommunications</w:t>
            </w:r>
          </w:p>
          <w:p w:rsidR="008C60AD" w:rsidRDefault="008C60AD">
            <w:pPr>
              <w:pStyle w:val="Standard"/>
              <w:rPr>
                <w:color w:val="666666"/>
              </w:rPr>
            </w:pPr>
          </w:p>
          <w:p w:rsidR="008C60AD" w:rsidRDefault="00120E6E">
            <w:pPr>
              <w:pStyle w:val="Standard"/>
              <w:rPr>
                <w:color w:val="666666"/>
              </w:rPr>
            </w:pPr>
            <w:r>
              <w:rPr>
                <w:color w:val="666666"/>
              </w:rPr>
              <w:t>Air/Rail Telephones: Except in an emergency, or when a critical business issue is involved, airphones should be avoided.</w:t>
            </w:r>
          </w:p>
          <w:p w:rsidR="008C60AD" w:rsidRDefault="008C60AD">
            <w:pPr>
              <w:pStyle w:val="Standard"/>
              <w:rPr>
                <w:color w:val="666666"/>
              </w:rPr>
            </w:pPr>
          </w:p>
          <w:p w:rsidR="008C60AD" w:rsidRDefault="00120E6E">
            <w:pPr>
              <w:pStyle w:val="Standard"/>
              <w:rPr>
                <w:color w:val="666666"/>
              </w:rPr>
            </w:pPr>
            <w:r>
              <w:rPr>
                <w:color w:val="666666"/>
              </w:rPr>
              <w:t xml:space="preserve">Hotel Surcharges: When possible, making calls from hotels that should be avoided. If the </w:t>
            </w:r>
            <w:proofErr w:type="spellStart"/>
            <w:r>
              <w:rPr>
                <w:color w:val="666666"/>
              </w:rPr>
              <w:t>traveller</w:t>
            </w:r>
            <w:proofErr w:type="spellEnd"/>
            <w:r>
              <w:rPr>
                <w:color w:val="666666"/>
              </w:rPr>
              <w:t xml:space="preserve"> has a cell phone, it should be used for making calls while in Australia. Global roaming charges should be discussed with your Manager prior to travel.</w:t>
            </w:r>
          </w:p>
          <w:p w:rsidR="008C60AD" w:rsidRDefault="008C60AD">
            <w:pPr>
              <w:pStyle w:val="Standard"/>
              <w:rPr>
                <w:color w:val="666666"/>
              </w:rPr>
            </w:pPr>
          </w:p>
          <w:p w:rsidR="008C60AD" w:rsidRDefault="00120E6E">
            <w:pPr>
              <w:pStyle w:val="Standard"/>
              <w:rPr>
                <w:color w:val="666666"/>
              </w:rPr>
            </w:pPr>
            <w:r>
              <w:rPr>
                <w:color w:val="666666"/>
              </w:rPr>
              <w:lastRenderedPageBreak/>
              <w:t>Internet: When internet connection is required during travel for the ...and free internet connection is not available; charges are reimbursable up to $20.00 per day.</w:t>
            </w:r>
          </w:p>
          <w:p w:rsidR="008C60AD" w:rsidRDefault="008C60AD">
            <w:pPr>
              <w:pStyle w:val="Standard"/>
              <w:rPr>
                <w:color w:val="666666"/>
              </w:rPr>
            </w:pPr>
          </w:p>
          <w:p w:rsidR="008C60AD" w:rsidRDefault="00120E6E">
            <w:pPr>
              <w:pStyle w:val="Standard"/>
              <w:rPr>
                <w:color w:val="666666"/>
              </w:rPr>
            </w:pPr>
            <w:r>
              <w:rPr>
                <w:color w:val="666666"/>
              </w:rPr>
              <w:t>Other Reimbursable Expenses</w:t>
            </w:r>
          </w:p>
          <w:p w:rsidR="008C60AD" w:rsidRDefault="008C60AD">
            <w:pPr>
              <w:pStyle w:val="Standard"/>
              <w:rPr>
                <w:color w:val="666666"/>
              </w:rPr>
            </w:pPr>
          </w:p>
          <w:p w:rsidR="008C60AD" w:rsidRDefault="00120E6E">
            <w:pPr>
              <w:pStyle w:val="Standard"/>
              <w:rPr>
                <w:color w:val="666666"/>
              </w:rPr>
            </w:pPr>
            <w:r>
              <w:rPr>
                <w:color w:val="666666"/>
              </w:rPr>
              <w:t>The following incidental expenses, when directly related to business travel, are reimbursable:</w:t>
            </w:r>
          </w:p>
          <w:p w:rsidR="008C60AD" w:rsidRDefault="00120E6E">
            <w:pPr>
              <w:pStyle w:val="Standard"/>
              <w:rPr>
                <w:color w:val="666666"/>
              </w:rPr>
            </w:pPr>
            <w:r>
              <w:rPr>
                <w:color w:val="666666"/>
              </w:rPr>
              <w:t xml:space="preserve">• Laundry/Valet: for trips </w:t>
            </w:r>
            <w:proofErr w:type="gramStart"/>
            <w:r>
              <w:rPr>
                <w:color w:val="666666"/>
              </w:rPr>
              <w:t>in excess of</w:t>
            </w:r>
            <w:proofErr w:type="gramEnd"/>
            <w:r>
              <w:rPr>
                <w:color w:val="666666"/>
              </w:rPr>
              <w:t xml:space="preserve"> five days</w:t>
            </w:r>
          </w:p>
          <w:p w:rsidR="008C60AD" w:rsidRDefault="00120E6E">
            <w:pPr>
              <w:pStyle w:val="Standard"/>
              <w:rPr>
                <w:color w:val="666666"/>
              </w:rPr>
            </w:pPr>
            <w:r>
              <w:rPr>
                <w:color w:val="666666"/>
              </w:rPr>
              <w:t>• Parking: Airport economy and hotel self-parking</w:t>
            </w:r>
          </w:p>
          <w:p w:rsidR="008C60AD" w:rsidRDefault="00120E6E">
            <w:pPr>
              <w:pStyle w:val="Standard"/>
              <w:rPr>
                <w:color w:val="666666"/>
              </w:rPr>
            </w:pPr>
            <w:r>
              <w:rPr>
                <w:color w:val="666666"/>
              </w:rPr>
              <w:t>• Tolls</w:t>
            </w:r>
          </w:p>
          <w:p w:rsidR="008C60AD" w:rsidRDefault="00120E6E">
            <w:pPr>
              <w:pStyle w:val="Standard"/>
              <w:rPr>
                <w:color w:val="666666"/>
              </w:rPr>
            </w:pPr>
            <w:r>
              <w:rPr>
                <w:color w:val="666666"/>
              </w:rPr>
              <w:t>• Use of an exercise facility (up to $15/day when free access to hotel gym is not available)</w:t>
            </w:r>
          </w:p>
          <w:p w:rsidR="008C60AD" w:rsidRDefault="00120E6E">
            <w:pPr>
              <w:pStyle w:val="Standard"/>
              <w:rPr>
                <w:color w:val="666666"/>
              </w:rPr>
            </w:pPr>
            <w:r>
              <w:rPr>
                <w:color w:val="666666"/>
              </w:rPr>
              <w:t>• Currency conversion for international travel</w:t>
            </w:r>
          </w:p>
          <w:p w:rsidR="008C60AD" w:rsidRDefault="008C60AD">
            <w:pPr>
              <w:pStyle w:val="Standard"/>
              <w:rPr>
                <w:color w:val="666666"/>
              </w:rPr>
            </w:pPr>
          </w:p>
          <w:p w:rsidR="008C60AD" w:rsidRDefault="00120E6E">
            <w:pPr>
              <w:pStyle w:val="Standard"/>
              <w:rPr>
                <w:color w:val="666666"/>
              </w:rPr>
            </w:pPr>
            <w:r>
              <w:rPr>
                <w:color w:val="666666"/>
              </w:rPr>
              <w:t>Miscellaneous Travel Expenses</w:t>
            </w:r>
          </w:p>
          <w:p w:rsidR="008C60AD" w:rsidRDefault="008C60AD">
            <w:pPr>
              <w:pStyle w:val="Standard"/>
              <w:rPr>
                <w:color w:val="666666"/>
              </w:rPr>
            </w:pPr>
          </w:p>
          <w:p w:rsidR="008C60AD" w:rsidRDefault="00120E6E">
            <w:pPr>
              <w:pStyle w:val="Standard"/>
              <w:rPr>
                <w:color w:val="666666"/>
              </w:rPr>
            </w:pPr>
            <w:r>
              <w:rPr>
                <w:color w:val="666666"/>
              </w:rPr>
              <w:t>Miscellaneous expenses are reimbursable when they are ordinary and necessary to accomplish the official business purpose of a trip. The Travel Expense Form must include an explanation of why such expenditures are being claimed. Miscellaneous expenses may include business office expenses, special fees for package deliveries, etc.</w:t>
            </w:r>
          </w:p>
          <w:p w:rsidR="008C60AD" w:rsidRDefault="008C60AD">
            <w:pPr>
              <w:pStyle w:val="Standard"/>
              <w:rPr>
                <w:color w:val="666666"/>
              </w:rPr>
            </w:pPr>
          </w:p>
          <w:p w:rsidR="008C60AD" w:rsidRDefault="00120E6E">
            <w:pPr>
              <w:pStyle w:val="Standard"/>
              <w:rPr>
                <w:color w:val="666666"/>
              </w:rPr>
            </w:pPr>
            <w:r>
              <w:rPr>
                <w:color w:val="666666"/>
              </w:rPr>
              <w:t>Payment and Documentation</w:t>
            </w:r>
          </w:p>
          <w:p w:rsidR="008C60AD" w:rsidRDefault="008C60AD">
            <w:pPr>
              <w:pStyle w:val="Standard"/>
              <w:rPr>
                <w:color w:val="666666"/>
              </w:rPr>
            </w:pPr>
          </w:p>
          <w:p w:rsidR="008C60AD" w:rsidRDefault="00120E6E">
            <w:pPr>
              <w:pStyle w:val="Standard"/>
              <w:rPr>
                <w:color w:val="666666"/>
              </w:rPr>
            </w:pPr>
            <w:proofErr w:type="spellStart"/>
            <w:r>
              <w:rPr>
                <w:color w:val="666666"/>
              </w:rPr>
              <w:t>travellers</w:t>
            </w:r>
            <w:proofErr w:type="spellEnd"/>
            <w:r>
              <w:rPr>
                <w:color w:val="666666"/>
              </w:rPr>
              <w:t xml:space="preserve"> must submit expense reports no more than forty-five days after completion of travel and the following guidelines must be applied:</w:t>
            </w:r>
          </w:p>
          <w:p w:rsidR="008C60AD" w:rsidRDefault="008C60AD">
            <w:pPr>
              <w:pStyle w:val="Standard"/>
              <w:rPr>
                <w:color w:val="666666"/>
              </w:rPr>
            </w:pPr>
          </w:p>
          <w:p w:rsidR="008C60AD" w:rsidRDefault="00120E6E">
            <w:pPr>
              <w:pStyle w:val="Standard"/>
              <w:rPr>
                <w:color w:val="666666"/>
              </w:rPr>
            </w:pPr>
            <w:r>
              <w:rPr>
                <w:color w:val="666666"/>
              </w:rPr>
              <w:t>• Receipts must be submitted for all expenses.</w:t>
            </w:r>
          </w:p>
          <w:p w:rsidR="008C60AD" w:rsidRDefault="008C60AD">
            <w:pPr>
              <w:pStyle w:val="Standard"/>
              <w:rPr>
                <w:color w:val="666666"/>
              </w:rPr>
            </w:pPr>
          </w:p>
          <w:p w:rsidR="008C60AD" w:rsidRDefault="00120E6E">
            <w:pPr>
              <w:pStyle w:val="Standard"/>
              <w:rPr>
                <w:color w:val="666666"/>
              </w:rPr>
            </w:pPr>
            <w:r>
              <w:rPr>
                <w:color w:val="666666"/>
              </w:rPr>
              <w:t>• Meal expenses must be itemized per meal on the expense report.</w:t>
            </w:r>
          </w:p>
          <w:p w:rsidR="008C60AD" w:rsidRDefault="008C60AD">
            <w:pPr>
              <w:pStyle w:val="Standard"/>
              <w:spacing w:line="360" w:lineRule="auto"/>
              <w:rPr>
                <w:rFonts w:ascii="Liberation Sans" w:hAnsi="Liberation Sans" w:cs="Arial"/>
                <w:color w:val="666666"/>
                <w:sz w:val="22"/>
                <w:szCs w:val="22"/>
              </w:rPr>
            </w:pPr>
          </w:p>
          <w:p w:rsidR="008C60AD" w:rsidRDefault="00120E6E">
            <w:pPr>
              <w:pStyle w:val="Standard"/>
              <w:spacing w:line="360" w:lineRule="auto"/>
              <w:rPr>
                <w:rFonts w:ascii="Liberation Sans" w:hAnsi="Liberation Sans" w:cs="Arial"/>
                <w:color w:val="666666"/>
                <w:sz w:val="22"/>
                <w:szCs w:val="22"/>
              </w:rPr>
            </w:pPr>
            <w:r>
              <w:rPr>
                <w:rFonts w:ascii="Liberation Sans" w:hAnsi="Liberation Sans" w:cs="Arial"/>
                <w:color w:val="666666"/>
                <w:sz w:val="22"/>
                <w:szCs w:val="22"/>
              </w:rPr>
              <w:t>• When being reimbursed for mileage, actual mileage to and from destination are required.</w:t>
            </w:r>
          </w:p>
        </w:tc>
      </w:tr>
    </w:tbl>
    <w:p w:rsidR="008C60AD" w:rsidRDefault="008C60AD">
      <w:pPr>
        <w:pStyle w:val="Standard"/>
      </w:pPr>
    </w:p>
    <w:p w:rsidR="008C60AD" w:rsidRDefault="008C60AD">
      <w:pPr>
        <w:pStyle w:val="Standard"/>
      </w:pPr>
    </w:p>
    <w:tbl>
      <w:tblPr>
        <w:tblW w:w="9972" w:type="dxa"/>
        <w:tblLayout w:type="fixed"/>
        <w:tblCellMar>
          <w:left w:w="10" w:type="dxa"/>
          <w:right w:w="10" w:type="dxa"/>
        </w:tblCellMar>
        <w:tblLook w:val="0000" w:firstRow="0" w:lastRow="0" w:firstColumn="0" w:lastColumn="0" w:noHBand="0" w:noVBand="0"/>
      </w:tblPr>
      <w:tblGrid>
        <w:gridCol w:w="9972"/>
      </w:tblGrid>
      <w:tr w:rsidR="008C60AD">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NormalWeb"/>
              <w:shd w:val="clear" w:color="auto" w:fill="009933"/>
              <w:spacing w:before="0" w:line="276" w:lineRule="auto"/>
              <w:jc w:val="both"/>
            </w:pPr>
            <w:r>
              <w:rPr>
                <w:rStyle w:val="StrongEmphasis"/>
                <w:rFonts w:ascii="Liberation Sans" w:hAnsi="Liberation Sans" w:cs="Arial"/>
                <w:color w:val="FFFFFF"/>
              </w:rPr>
              <w:t>3.1 Department of Foreign Affairs (DFAT) Travel Advice</w:t>
            </w:r>
          </w:p>
        </w:tc>
      </w:tr>
      <w:tr w:rsidR="008C60AD">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Default"/>
              <w:spacing w:line="360" w:lineRule="auto"/>
              <w:rPr>
                <w:rFonts w:ascii="Liberation Sans" w:hAnsi="Liberation Sans" w:cs="Arial"/>
                <w:color w:val="666666"/>
              </w:rPr>
            </w:pPr>
            <w:r>
              <w:rPr>
                <w:rFonts w:ascii="Liberation Sans" w:hAnsi="Liberation Sans" w:cs="Arial"/>
                <w:color w:val="666666"/>
              </w:rPr>
              <w:t>Travel risk management plans and DFAT advice</w:t>
            </w:r>
          </w:p>
          <w:p w:rsidR="008C60AD" w:rsidRDefault="008C60AD">
            <w:pPr>
              <w:pStyle w:val="Default"/>
              <w:spacing w:line="360" w:lineRule="auto"/>
              <w:rPr>
                <w:rFonts w:ascii="Liberation Sans" w:hAnsi="Liberation Sans" w:cs="Arial"/>
                <w:color w:val="666666"/>
              </w:rPr>
            </w:pPr>
          </w:p>
          <w:p w:rsidR="008C60AD" w:rsidRDefault="00120E6E">
            <w:pPr>
              <w:pStyle w:val="Default"/>
              <w:spacing w:line="360" w:lineRule="auto"/>
              <w:rPr>
                <w:rFonts w:ascii="Liberation Sans" w:hAnsi="Liberation Sans" w:cs="Arial"/>
                <w:color w:val="666666"/>
              </w:rPr>
            </w:pPr>
            <w:r>
              <w:rPr>
                <w:rFonts w:ascii="Liberation Sans" w:hAnsi="Liberation Sans" w:cs="Arial"/>
                <w:color w:val="666666"/>
              </w:rPr>
              <w:t>A Travel Checklist must be completed by all employees prior to travelling overseas.</w:t>
            </w:r>
          </w:p>
          <w:p w:rsidR="008C60AD" w:rsidRDefault="008C60AD">
            <w:pPr>
              <w:pStyle w:val="Default"/>
              <w:spacing w:line="360" w:lineRule="auto"/>
              <w:rPr>
                <w:rFonts w:ascii="Liberation Sans" w:hAnsi="Liberation Sans" w:cs="Arial"/>
                <w:color w:val="666666"/>
              </w:rPr>
            </w:pPr>
          </w:p>
          <w:p w:rsidR="008C60AD" w:rsidRDefault="00120E6E">
            <w:pPr>
              <w:pStyle w:val="Default"/>
              <w:spacing w:line="360" w:lineRule="auto"/>
              <w:rPr>
                <w:rFonts w:ascii="Liberation Sans" w:hAnsi="Liberation Sans" w:cs="Arial"/>
                <w:color w:val="666666"/>
              </w:rPr>
            </w:pPr>
            <w:r>
              <w:rPr>
                <w:rFonts w:ascii="Liberation Sans" w:hAnsi="Liberation Sans" w:cs="Arial"/>
                <w:color w:val="666666"/>
              </w:rPr>
              <w:t>Travellers must consult the Department of Foreign Affairs and Trade (DFAT) (http://www.dfat.gov.au/) website at the time of the Authority to Travel application to determine whether travel will be permitted, obtain a copy of the DFAT Advisory and attach to the Authority to Travel form.</w:t>
            </w:r>
          </w:p>
          <w:p w:rsidR="008C60AD" w:rsidRDefault="008C60AD">
            <w:pPr>
              <w:pStyle w:val="Default"/>
              <w:spacing w:line="360" w:lineRule="auto"/>
              <w:rPr>
                <w:rFonts w:ascii="Liberation Sans" w:hAnsi="Liberation Sans" w:cs="Arial"/>
                <w:color w:val="666666"/>
              </w:rPr>
            </w:pPr>
          </w:p>
          <w:p w:rsidR="008C60AD" w:rsidRDefault="00120E6E">
            <w:pPr>
              <w:pStyle w:val="Default"/>
              <w:spacing w:line="360" w:lineRule="auto"/>
              <w:rPr>
                <w:rFonts w:ascii="Liberation Sans" w:hAnsi="Liberation Sans" w:cs="Arial"/>
                <w:color w:val="666666"/>
              </w:rPr>
            </w:pPr>
            <w:r>
              <w:rPr>
                <w:rFonts w:ascii="Liberation Sans" w:hAnsi="Liberation Sans" w:cs="Arial"/>
                <w:color w:val="666666"/>
              </w:rPr>
              <w:lastRenderedPageBreak/>
              <w:t xml:space="preserve">To access the DFAT Advisory for any given country, click on the following website: </w:t>
            </w:r>
            <w:hyperlink r:id="rId8" w:history="1">
              <w:r>
                <w:rPr>
                  <w:rFonts w:ascii="Liberation Sans" w:hAnsi="Liberation Sans" w:cs="Arial"/>
                  <w:color w:val="666666"/>
                </w:rPr>
                <w:t>http://www.smartraveller.gov.au/zw-cgi/view/Advice/</w:t>
              </w:r>
            </w:hyperlink>
          </w:p>
          <w:p w:rsidR="008C60AD" w:rsidRDefault="008C60AD">
            <w:pPr>
              <w:pStyle w:val="Default"/>
              <w:spacing w:line="360" w:lineRule="auto"/>
              <w:rPr>
                <w:rFonts w:ascii="Liberation Sans" w:hAnsi="Liberation Sans" w:cs="Arial"/>
                <w:color w:val="666666"/>
              </w:rPr>
            </w:pPr>
          </w:p>
          <w:p w:rsidR="008C60AD" w:rsidRDefault="00120E6E">
            <w:pPr>
              <w:pStyle w:val="Default"/>
              <w:spacing w:line="360" w:lineRule="auto"/>
              <w:rPr>
                <w:rFonts w:ascii="Liberation Sans" w:hAnsi="Liberation Sans" w:cs="Arial"/>
                <w:color w:val="666666"/>
              </w:rPr>
            </w:pPr>
            <w:r>
              <w:rPr>
                <w:rFonts w:ascii="Liberation Sans" w:hAnsi="Liberation Sans" w:cs="Arial"/>
                <w:color w:val="666666"/>
              </w:rPr>
              <w:t>The following table provides details in relation to the meaning of DFAT Travel Advisories, the permission required to travel to countries at the relevant Advisory level and whether travel insurance is covered under ...insurance policy:</w:t>
            </w:r>
          </w:p>
          <w:p w:rsidR="008C60AD" w:rsidRDefault="008C60AD">
            <w:pPr>
              <w:pStyle w:val="Default"/>
              <w:spacing w:line="360" w:lineRule="auto"/>
              <w:rPr>
                <w:rFonts w:ascii="Liberation Sans" w:hAnsi="Liberation Sans" w:cs="Arial"/>
                <w:color w:val="666666"/>
              </w:rPr>
            </w:pPr>
          </w:p>
          <w:p w:rsidR="008C60AD" w:rsidRDefault="00120E6E">
            <w:pPr>
              <w:pStyle w:val="Default"/>
              <w:spacing w:line="360" w:lineRule="auto"/>
              <w:rPr>
                <w:rFonts w:ascii="Liberation Sans" w:hAnsi="Liberation Sans" w:cs="Arial"/>
                <w:color w:val="666666"/>
              </w:rPr>
            </w:pPr>
            <w:r>
              <w:rPr>
                <w:rFonts w:ascii="Liberation Sans" w:hAnsi="Liberation Sans" w:cs="Arial"/>
                <w:color w:val="666666"/>
              </w:rPr>
              <w:t xml:space="preserve">Where DFAT has issued a Level 5 advisory, “Advised not to Travel”, ...will not permit travel to the affected country or countries. Where DFAT has issued a Level 4 advisory, “Reconsider your need to Travel" and the Traveller’s obligations (e.g. contractual obligations, exploring business opportunities, etc) are such that the Traveller elects to undertake travel despite the advisory, determination of </w:t>
            </w:r>
            <w:proofErr w:type="gramStart"/>
            <w:r>
              <w:rPr>
                <w:rFonts w:ascii="Liberation Sans" w:hAnsi="Liberation Sans" w:cs="Arial"/>
                <w:color w:val="666666"/>
              </w:rPr>
              <w:t>whether or not</w:t>
            </w:r>
            <w:proofErr w:type="gramEnd"/>
            <w:r>
              <w:rPr>
                <w:rFonts w:ascii="Liberation Sans" w:hAnsi="Liberation Sans" w:cs="Arial"/>
                <w:color w:val="666666"/>
              </w:rPr>
              <w:t xml:space="preserve"> the overseas travel shall occur may only be made by an executive. Where travel to a country for which DFAT has issued a Level 4 advisory is considered necessary, the reason why the travel should proceed and why it cannot be postponed to another time must be noted on the Authority to Travel </w:t>
            </w:r>
            <w:proofErr w:type="gramStart"/>
            <w:r>
              <w:rPr>
                <w:rFonts w:ascii="Liberation Sans" w:hAnsi="Liberation Sans" w:cs="Arial"/>
                <w:color w:val="666666"/>
              </w:rPr>
              <w:t>in order to</w:t>
            </w:r>
            <w:proofErr w:type="gramEnd"/>
            <w:r>
              <w:rPr>
                <w:rFonts w:ascii="Liberation Sans" w:hAnsi="Liberation Sans" w:cs="Arial"/>
                <w:color w:val="666666"/>
              </w:rPr>
              <w:t xml:space="preserve"> assist in the determination of whether or not approval will be granted. Where any obligations can be deferred without breaching such obligations, travel should be avoided.</w:t>
            </w:r>
          </w:p>
          <w:p w:rsidR="008C60AD" w:rsidRDefault="008C60AD">
            <w:pPr>
              <w:pStyle w:val="Default"/>
              <w:spacing w:line="360" w:lineRule="auto"/>
              <w:rPr>
                <w:rFonts w:ascii="Liberation Sans" w:hAnsi="Liberation Sans" w:cs="Arial"/>
                <w:color w:val="666666"/>
              </w:rPr>
            </w:pPr>
          </w:p>
          <w:p w:rsidR="008C60AD" w:rsidRDefault="00120E6E">
            <w:pPr>
              <w:pStyle w:val="Default"/>
              <w:spacing w:line="360" w:lineRule="auto"/>
              <w:rPr>
                <w:rFonts w:ascii="Liberation Sans" w:hAnsi="Liberation Sans" w:cs="Arial"/>
                <w:color w:val="666666"/>
              </w:rPr>
            </w:pPr>
            <w:r>
              <w:rPr>
                <w:rFonts w:ascii="Liberation Sans" w:hAnsi="Liberation Sans" w:cs="Arial"/>
                <w:color w:val="666666"/>
              </w:rPr>
              <w:t xml:space="preserve">Travellers who are overseas for business-related purposes are required to comply with any direction given by the DFAT </w:t>
            </w:r>
            <w:proofErr w:type="gramStart"/>
            <w:r>
              <w:rPr>
                <w:rFonts w:ascii="Liberation Sans" w:hAnsi="Liberation Sans" w:cs="Arial"/>
                <w:color w:val="666666"/>
              </w:rPr>
              <w:t>as a result of</w:t>
            </w:r>
            <w:proofErr w:type="gramEnd"/>
            <w:r>
              <w:rPr>
                <w:rFonts w:ascii="Liberation Sans" w:hAnsi="Liberation Sans" w:cs="Arial"/>
                <w:color w:val="666666"/>
              </w:rPr>
              <w:t xml:space="preserve"> a change in the assessment of the level of safety of the particular overseas destination.</w:t>
            </w:r>
          </w:p>
        </w:tc>
      </w:tr>
    </w:tbl>
    <w:p w:rsidR="008C60AD" w:rsidRDefault="008C60AD">
      <w:pPr>
        <w:pStyle w:val="Standard"/>
      </w:pPr>
    </w:p>
    <w:p w:rsidR="008C60AD" w:rsidRDefault="008C60AD">
      <w:pPr>
        <w:pStyle w:val="Standard"/>
      </w:pPr>
    </w:p>
    <w:tbl>
      <w:tblPr>
        <w:tblW w:w="9972" w:type="dxa"/>
        <w:tblLayout w:type="fixed"/>
        <w:tblCellMar>
          <w:left w:w="10" w:type="dxa"/>
          <w:right w:w="10" w:type="dxa"/>
        </w:tblCellMar>
        <w:tblLook w:val="0000" w:firstRow="0" w:lastRow="0" w:firstColumn="0" w:lastColumn="0" w:noHBand="0" w:noVBand="0"/>
      </w:tblPr>
      <w:tblGrid>
        <w:gridCol w:w="9972"/>
      </w:tblGrid>
      <w:tr w:rsidR="008C60AD">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NormalWeb"/>
              <w:shd w:val="clear" w:color="auto" w:fill="009933"/>
              <w:spacing w:before="0" w:line="276" w:lineRule="auto"/>
              <w:jc w:val="both"/>
            </w:pPr>
            <w:r>
              <w:rPr>
                <w:rStyle w:val="StrongEmphasis"/>
                <w:rFonts w:ascii="Liberation Sans" w:hAnsi="Liberation Sans" w:cs="Arial"/>
                <w:color w:val="FFFFFF"/>
              </w:rPr>
              <w:t>4.1 Emergency Communications</w:t>
            </w:r>
          </w:p>
        </w:tc>
      </w:tr>
      <w:tr w:rsidR="008C60AD">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Default"/>
              <w:spacing w:line="360" w:lineRule="auto"/>
              <w:rPr>
                <w:rFonts w:ascii="Liberation Sans" w:hAnsi="Liberation Sans" w:cs="Arial"/>
                <w:color w:val="666666"/>
              </w:rPr>
            </w:pPr>
            <w:r>
              <w:rPr>
                <w:rFonts w:ascii="Liberation Sans" w:hAnsi="Liberation Sans" w:cs="Arial"/>
                <w:color w:val="666666"/>
                <w:sz w:val="22"/>
                <w:szCs w:val="22"/>
              </w:rPr>
              <w:t>Accurate information regarding the whereabouts and contact details of staff members travelling overseas must be accessible at short notice. To this end, each department must retain copies of all authorised travel approval forms in a central location, which is accessible at short notice. All changes in travel arrangements are to be recorded to ensure that information regarding staff who are overseas is accurate and up to date.</w:t>
            </w:r>
          </w:p>
          <w:p w:rsidR="008C60AD" w:rsidRDefault="008C60AD">
            <w:pPr>
              <w:pStyle w:val="Default"/>
              <w:spacing w:line="360" w:lineRule="auto"/>
              <w:rPr>
                <w:rFonts w:ascii="Liberation Sans" w:hAnsi="Liberation Sans" w:cs="Arial"/>
                <w:color w:val="666666"/>
                <w:sz w:val="22"/>
                <w:szCs w:val="22"/>
              </w:rPr>
            </w:pPr>
          </w:p>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 xml:space="preserve">Where specific issues arise that require urgent communication to all staff of </w:t>
            </w:r>
            <w:proofErr w:type="gramStart"/>
            <w:r>
              <w:rPr>
                <w:rFonts w:ascii="Liberation Sans" w:hAnsi="Liberation Sans" w:cs="Arial"/>
                <w:color w:val="666666"/>
                <w:sz w:val="22"/>
                <w:szCs w:val="22"/>
              </w:rPr>
              <w:t>...(</w:t>
            </w:r>
            <w:proofErr w:type="gramEnd"/>
            <w:r>
              <w:rPr>
                <w:rFonts w:ascii="Liberation Sans" w:hAnsi="Liberation Sans" w:cs="Arial"/>
                <w:color w:val="666666"/>
                <w:sz w:val="22"/>
                <w:szCs w:val="22"/>
              </w:rPr>
              <w:t>e.g. health epidemic information) the … will be the coordinator of such advice. Such advice will be based on official advice from DFAT and appropriate health authorities.</w:t>
            </w:r>
          </w:p>
          <w:p w:rsidR="008C60AD" w:rsidRDefault="008C60AD">
            <w:pPr>
              <w:pStyle w:val="Default"/>
              <w:spacing w:line="360" w:lineRule="auto"/>
              <w:rPr>
                <w:rFonts w:ascii="Liberation Sans" w:hAnsi="Liberation Sans" w:cs="Arial"/>
                <w:color w:val="666666"/>
                <w:sz w:val="22"/>
                <w:szCs w:val="22"/>
              </w:rPr>
            </w:pPr>
          </w:p>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In the event of an emergency occurring overseas, … who are travelling in the affected location must immediately notify … who will determine appropriate action, which may include activating ...Crisis Management and Recovery plan if appropriate.</w:t>
            </w:r>
          </w:p>
          <w:p w:rsidR="008C60AD" w:rsidRDefault="008C60AD">
            <w:pPr>
              <w:pStyle w:val="Default"/>
              <w:spacing w:line="360" w:lineRule="auto"/>
              <w:rPr>
                <w:rFonts w:ascii="Liberation Sans" w:hAnsi="Liberation Sans" w:cs="Arial"/>
                <w:color w:val="666666"/>
                <w:sz w:val="22"/>
                <w:szCs w:val="22"/>
              </w:rPr>
            </w:pPr>
          </w:p>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All international travellers are directed to register with DFAT on the Smart Traveller web site http://www.smartraveller.gov.au/. Information provided by travellers will enable Australian officials to assist in an emergency - whether it is a natural disaster, civil disturbance or a family emergency.</w:t>
            </w:r>
          </w:p>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In the event of an emergency, Australian officials may be contacted using the following 24-hour DFAT Emergency numbers:</w:t>
            </w:r>
          </w:p>
          <w:p w:rsidR="008C60AD" w:rsidRDefault="008C60AD">
            <w:pPr>
              <w:pStyle w:val="Default"/>
              <w:spacing w:line="360" w:lineRule="auto"/>
              <w:rPr>
                <w:rFonts w:ascii="Liberation Sans" w:hAnsi="Liberation Sans" w:cs="Arial"/>
                <w:color w:val="666666"/>
                <w:sz w:val="22"/>
                <w:szCs w:val="22"/>
              </w:rPr>
            </w:pPr>
          </w:p>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+61 2 6261 3305; or</w:t>
            </w:r>
          </w:p>
          <w:p w:rsidR="008C60AD" w:rsidRDefault="008C60AD">
            <w:pPr>
              <w:pStyle w:val="Default"/>
              <w:spacing w:line="360" w:lineRule="auto"/>
              <w:rPr>
                <w:rFonts w:ascii="Liberation Sans" w:hAnsi="Liberation Sans" w:cs="Arial"/>
                <w:color w:val="666666"/>
                <w:sz w:val="22"/>
                <w:szCs w:val="22"/>
              </w:rPr>
            </w:pPr>
          </w:p>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1300 555135 (local call cost within Australia).</w:t>
            </w:r>
          </w:p>
        </w:tc>
      </w:tr>
    </w:tbl>
    <w:p w:rsidR="008C60AD" w:rsidRDefault="008C60AD">
      <w:pPr>
        <w:pStyle w:val="Standard"/>
      </w:pPr>
    </w:p>
    <w:p w:rsidR="008C60AD" w:rsidRDefault="008C60AD">
      <w:pPr>
        <w:pStyle w:val="Standard"/>
      </w:pPr>
    </w:p>
    <w:tbl>
      <w:tblPr>
        <w:tblW w:w="9972" w:type="dxa"/>
        <w:tblLayout w:type="fixed"/>
        <w:tblCellMar>
          <w:left w:w="10" w:type="dxa"/>
          <w:right w:w="10" w:type="dxa"/>
        </w:tblCellMar>
        <w:tblLook w:val="0000" w:firstRow="0" w:lastRow="0" w:firstColumn="0" w:lastColumn="0" w:noHBand="0" w:noVBand="0"/>
      </w:tblPr>
      <w:tblGrid>
        <w:gridCol w:w="9972"/>
      </w:tblGrid>
      <w:tr w:rsidR="008C60AD">
        <w:tc>
          <w:tcPr>
            <w:tcW w:w="9972"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NormalWeb"/>
              <w:shd w:val="clear" w:color="auto" w:fill="009933"/>
              <w:spacing w:before="0" w:line="276" w:lineRule="auto"/>
              <w:jc w:val="both"/>
            </w:pPr>
            <w:r>
              <w:rPr>
                <w:rStyle w:val="StrongEmphasis"/>
                <w:rFonts w:ascii="Liberation Sans" w:hAnsi="Liberation Sans" w:cs="Arial"/>
                <w:color w:val="FFFFFF"/>
              </w:rPr>
              <w:t>5.1 Pre-Travel Arrangements</w:t>
            </w:r>
          </w:p>
        </w:tc>
      </w:tr>
      <w:tr w:rsidR="008C60AD">
        <w:tc>
          <w:tcPr>
            <w:tcW w:w="9972" w:type="dxa"/>
            <w:tcBorders>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Travellers are strongly advised to obtain recommended vaccinations for each destination country that they are visiting. … shall meet the cost of such vaccinations.</w:t>
            </w:r>
          </w:p>
          <w:p w:rsidR="008C60AD" w:rsidRDefault="008C60AD">
            <w:pPr>
              <w:pStyle w:val="Default"/>
              <w:spacing w:line="360" w:lineRule="auto"/>
              <w:rPr>
                <w:rFonts w:ascii="Liberation Sans" w:hAnsi="Liberation Sans" w:cs="Arial"/>
                <w:color w:val="666666"/>
                <w:sz w:val="22"/>
                <w:szCs w:val="22"/>
              </w:rPr>
            </w:pPr>
          </w:p>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Travellers should obtain such vaccinations as soon as their proposed travel is planned to ensure adequate time for vaccinations to be effective. Normally at least six to eight weeks is required for vaccines to be effective.</w:t>
            </w:r>
          </w:p>
          <w:p w:rsidR="008C60AD" w:rsidRDefault="008C60AD">
            <w:pPr>
              <w:pStyle w:val="Default"/>
              <w:spacing w:line="360" w:lineRule="auto"/>
              <w:rPr>
                <w:rFonts w:ascii="Liberation Sans" w:hAnsi="Liberation Sans" w:cs="Arial"/>
                <w:color w:val="666666"/>
                <w:sz w:val="22"/>
                <w:szCs w:val="22"/>
              </w:rPr>
            </w:pPr>
          </w:p>
          <w:p w:rsidR="008C60AD" w:rsidRDefault="00120E6E">
            <w:pPr>
              <w:pStyle w:val="Default"/>
              <w:spacing w:line="360" w:lineRule="auto"/>
              <w:rPr>
                <w:rFonts w:ascii="Liberation Sans" w:hAnsi="Liberation Sans" w:cs="Arial"/>
                <w:color w:val="666666"/>
                <w:sz w:val="22"/>
                <w:szCs w:val="22"/>
              </w:rPr>
            </w:pPr>
            <w:r>
              <w:rPr>
                <w:rFonts w:ascii="Liberation Sans" w:hAnsi="Liberation Sans" w:cs="Arial"/>
                <w:color w:val="666666"/>
                <w:sz w:val="22"/>
                <w:szCs w:val="22"/>
              </w:rPr>
              <w:t>Post-travel assessments are recommended for staff members who have experienced health problems during Overseas Travel.</w:t>
            </w:r>
          </w:p>
        </w:tc>
      </w:tr>
    </w:tbl>
    <w:p w:rsidR="008C60AD" w:rsidRDefault="008C60AD">
      <w:pPr>
        <w:pStyle w:val="Standard"/>
      </w:pPr>
    </w:p>
    <w:p w:rsidR="008C60AD" w:rsidRDefault="008C60AD">
      <w:pPr>
        <w:pStyle w:val="Standard"/>
      </w:pPr>
    </w:p>
    <w:tbl>
      <w:tblPr>
        <w:tblW w:w="9240" w:type="dxa"/>
        <w:tblInd w:w="-54" w:type="dxa"/>
        <w:tblLayout w:type="fixed"/>
        <w:tblCellMar>
          <w:left w:w="10" w:type="dxa"/>
          <w:right w:w="10" w:type="dxa"/>
        </w:tblCellMar>
        <w:tblLook w:val="0000" w:firstRow="0" w:lastRow="0" w:firstColumn="0" w:lastColumn="0" w:noHBand="0" w:noVBand="0"/>
      </w:tblPr>
      <w:tblGrid>
        <w:gridCol w:w="9240"/>
      </w:tblGrid>
      <w:tr w:rsidR="008C60AD">
        <w:tc>
          <w:tcPr>
            <w:tcW w:w="9240" w:type="dxa"/>
            <w:tcBorders>
              <w:top w:val="single" w:sz="2" w:space="0" w:color="009933"/>
              <w:left w:val="single" w:sz="2" w:space="0" w:color="009933"/>
              <w:bottom w:val="single" w:sz="2" w:space="0" w:color="009933"/>
              <w:right w:val="single" w:sz="2" w:space="0" w:color="009933"/>
            </w:tcBorders>
            <w:tcMar>
              <w:top w:w="55" w:type="dxa"/>
              <w:left w:w="55" w:type="dxa"/>
              <w:bottom w:w="55" w:type="dxa"/>
              <w:right w:w="55" w:type="dxa"/>
            </w:tcMar>
          </w:tcPr>
          <w:p w:rsidR="008C60AD" w:rsidRDefault="00120E6E">
            <w:pPr>
              <w:pStyle w:val="NormalWeb"/>
              <w:shd w:val="clear" w:color="auto" w:fill="009933"/>
              <w:spacing w:before="0" w:line="276" w:lineRule="auto"/>
              <w:jc w:val="both"/>
            </w:pPr>
            <w:r>
              <w:rPr>
                <w:rStyle w:val="StrongEmphasis"/>
                <w:rFonts w:ascii="Liberation Sans" w:hAnsi="Liberation Sans" w:cs="Arial"/>
                <w:color w:val="FFFFFF"/>
              </w:rPr>
              <w:t>Version Control and Change History</w:t>
            </w:r>
          </w:p>
        </w:tc>
      </w:tr>
    </w:tbl>
    <w:p w:rsidR="008C60AD" w:rsidRDefault="008C60AD">
      <w:pPr>
        <w:pStyle w:val="Standard"/>
      </w:pPr>
    </w:p>
    <w:p w:rsidR="008C60AD" w:rsidRDefault="008C60AD">
      <w:pPr>
        <w:pStyle w:val="Standard"/>
      </w:pPr>
    </w:p>
    <w:tbl>
      <w:tblPr>
        <w:tblW w:w="9146" w:type="dxa"/>
        <w:tblInd w:w="-36" w:type="dxa"/>
        <w:tblLayout w:type="fixed"/>
        <w:tblCellMar>
          <w:left w:w="10" w:type="dxa"/>
          <w:right w:w="10" w:type="dxa"/>
        </w:tblCellMar>
        <w:tblLook w:val="0000" w:firstRow="0" w:lastRow="0" w:firstColumn="0" w:lastColumn="0" w:noHBand="0" w:noVBand="0"/>
      </w:tblPr>
      <w:tblGrid>
        <w:gridCol w:w="1149"/>
        <w:gridCol w:w="1554"/>
        <w:gridCol w:w="2497"/>
        <w:gridCol w:w="3946"/>
      </w:tblGrid>
      <w:tr w:rsidR="008C60AD">
        <w:tc>
          <w:tcPr>
            <w:tcW w:w="1149" w:type="dxa"/>
            <w:tcBorders>
              <w:top w:val="outset" w:sz="18" w:space="0" w:color="009933"/>
              <w:left w:val="outset" w:sz="18" w:space="0" w:color="009933"/>
              <w:bottom w:val="outset" w:sz="18" w:space="0" w:color="009933"/>
              <w:right w:val="outset" w:sz="18" w:space="0" w:color="009933"/>
            </w:tcBorders>
            <w:shd w:val="clear" w:color="auto" w:fill="009933"/>
            <w:tcMar>
              <w:top w:w="15" w:type="dxa"/>
              <w:left w:w="14" w:type="dxa"/>
              <w:bottom w:w="15" w:type="dxa"/>
              <w:right w:w="15" w:type="dxa"/>
            </w:tcMar>
            <w:vAlign w:val="center"/>
          </w:tcPr>
          <w:p w:rsidR="008C60AD" w:rsidRDefault="00120E6E">
            <w:pPr>
              <w:pStyle w:val="Standard"/>
              <w:spacing w:after="240" w:line="360" w:lineRule="auto"/>
              <w:rPr>
                <w:b/>
                <w:bCs/>
                <w:color w:val="FFFFFF"/>
              </w:rPr>
            </w:pPr>
            <w:r>
              <w:rPr>
                <w:b/>
                <w:bCs/>
                <w:color w:val="FFFFFF"/>
              </w:rPr>
              <w:t>Version Control</w:t>
            </w:r>
          </w:p>
        </w:tc>
        <w:tc>
          <w:tcPr>
            <w:tcW w:w="1554" w:type="dxa"/>
            <w:tcBorders>
              <w:top w:val="outset" w:sz="18" w:space="0" w:color="009933"/>
              <w:left w:val="outset" w:sz="18" w:space="0" w:color="009933"/>
              <w:bottom w:val="outset" w:sz="18" w:space="0" w:color="009933"/>
              <w:right w:val="outset" w:sz="18" w:space="0" w:color="009933"/>
            </w:tcBorders>
            <w:shd w:val="clear" w:color="auto" w:fill="009933"/>
            <w:tcMar>
              <w:top w:w="15" w:type="dxa"/>
              <w:left w:w="14" w:type="dxa"/>
              <w:bottom w:w="15" w:type="dxa"/>
              <w:right w:w="15" w:type="dxa"/>
            </w:tcMar>
            <w:vAlign w:val="center"/>
          </w:tcPr>
          <w:p w:rsidR="008C60AD" w:rsidRDefault="00120E6E">
            <w:pPr>
              <w:pStyle w:val="Standard"/>
              <w:spacing w:after="240" w:line="360" w:lineRule="auto"/>
              <w:rPr>
                <w:b/>
                <w:bCs/>
                <w:color w:val="FFFFFF"/>
              </w:rPr>
            </w:pPr>
            <w:r>
              <w:rPr>
                <w:b/>
                <w:bCs/>
                <w:color w:val="FFFFFF"/>
              </w:rPr>
              <w:t>Date Effective</w:t>
            </w:r>
          </w:p>
        </w:tc>
        <w:tc>
          <w:tcPr>
            <w:tcW w:w="2497" w:type="dxa"/>
            <w:tcBorders>
              <w:top w:val="outset" w:sz="18" w:space="0" w:color="009933"/>
              <w:left w:val="outset" w:sz="18" w:space="0" w:color="009933"/>
              <w:bottom w:val="outset" w:sz="18" w:space="0" w:color="009933"/>
              <w:right w:val="outset" w:sz="18" w:space="0" w:color="009933"/>
            </w:tcBorders>
            <w:shd w:val="clear" w:color="auto" w:fill="009933"/>
            <w:tcMar>
              <w:top w:w="15" w:type="dxa"/>
              <w:left w:w="14" w:type="dxa"/>
              <w:bottom w:w="15" w:type="dxa"/>
              <w:right w:w="15" w:type="dxa"/>
            </w:tcMar>
            <w:vAlign w:val="center"/>
          </w:tcPr>
          <w:p w:rsidR="008C60AD" w:rsidRDefault="00120E6E">
            <w:pPr>
              <w:pStyle w:val="Standard"/>
              <w:spacing w:after="240" w:line="360" w:lineRule="auto"/>
              <w:rPr>
                <w:b/>
                <w:bCs/>
                <w:color w:val="FFFFFF"/>
              </w:rPr>
            </w:pPr>
            <w:r>
              <w:rPr>
                <w:b/>
                <w:bCs/>
                <w:color w:val="FFFFFF"/>
              </w:rPr>
              <w:t>Approved By</w:t>
            </w:r>
          </w:p>
        </w:tc>
        <w:tc>
          <w:tcPr>
            <w:tcW w:w="3946" w:type="dxa"/>
            <w:tcBorders>
              <w:top w:val="outset" w:sz="18" w:space="0" w:color="009933"/>
              <w:left w:val="outset" w:sz="18" w:space="0" w:color="009933"/>
              <w:bottom w:val="outset" w:sz="18" w:space="0" w:color="009933"/>
              <w:right w:val="outset" w:sz="18" w:space="0" w:color="009933"/>
            </w:tcBorders>
            <w:shd w:val="clear" w:color="auto" w:fill="009933"/>
            <w:tcMar>
              <w:top w:w="15" w:type="dxa"/>
              <w:left w:w="14" w:type="dxa"/>
              <w:bottom w:w="15" w:type="dxa"/>
              <w:right w:w="15" w:type="dxa"/>
            </w:tcMar>
            <w:vAlign w:val="center"/>
          </w:tcPr>
          <w:p w:rsidR="008C60AD" w:rsidRDefault="00120E6E">
            <w:pPr>
              <w:pStyle w:val="Standard"/>
              <w:spacing w:after="240" w:line="360" w:lineRule="auto"/>
              <w:rPr>
                <w:b/>
                <w:bCs/>
                <w:color w:val="FFFFFF"/>
              </w:rPr>
            </w:pPr>
            <w:r>
              <w:rPr>
                <w:b/>
                <w:bCs/>
                <w:color w:val="FFFFFF"/>
              </w:rPr>
              <w:t>Amendment</w:t>
            </w:r>
          </w:p>
        </w:tc>
      </w:tr>
      <w:tr w:rsidR="008C60AD">
        <w:tc>
          <w:tcPr>
            <w:tcW w:w="1149"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120E6E">
            <w:pPr>
              <w:pStyle w:val="Standard"/>
              <w:spacing w:after="240" w:line="360" w:lineRule="auto"/>
              <w:rPr>
                <w:color w:val="666666"/>
              </w:rPr>
            </w:pPr>
            <w:r>
              <w:rPr>
                <w:color w:val="666666"/>
              </w:rPr>
              <w:lastRenderedPageBreak/>
              <w:t>1</w:t>
            </w:r>
          </w:p>
        </w:tc>
        <w:tc>
          <w:tcPr>
            <w:tcW w:w="1554"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c>
          <w:tcPr>
            <w:tcW w:w="2497"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c>
          <w:tcPr>
            <w:tcW w:w="3946"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r>
      <w:tr w:rsidR="008C60AD">
        <w:tc>
          <w:tcPr>
            <w:tcW w:w="1149"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120E6E">
            <w:pPr>
              <w:pStyle w:val="Standard"/>
              <w:spacing w:after="240" w:line="360" w:lineRule="auto"/>
              <w:rPr>
                <w:color w:val="666666"/>
              </w:rPr>
            </w:pPr>
            <w:r>
              <w:rPr>
                <w:color w:val="666666"/>
              </w:rPr>
              <w:t>2</w:t>
            </w:r>
          </w:p>
        </w:tc>
        <w:tc>
          <w:tcPr>
            <w:tcW w:w="1554"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c>
          <w:tcPr>
            <w:tcW w:w="2497"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c>
          <w:tcPr>
            <w:tcW w:w="3946"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r>
      <w:tr w:rsidR="008C60AD">
        <w:tc>
          <w:tcPr>
            <w:tcW w:w="1149"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120E6E">
            <w:pPr>
              <w:pStyle w:val="Standard"/>
              <w:spacing w:after="240" w:line="360" w:lineRule="auto"/>
              <w:rPr>
                <w:color w:val="666666"/>
              </w:rPr>
            </w:pPr>
            <w:r>
              <w:rPr>
                <w:color w:val="666666"/>
              </w:rPr>
              <w:t>3</w:t>
            </w:r>
          </w:p>
        </w:tc>
        <w:tc>
          <w:tcPr>
            <w:tcW w:w="1554"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c>
          <w:tcPr>
            <w:tcW w:w="2497"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c>
          <w:tcPr>
            <w:tcW w:w="3946"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r>
      <w:tr w:rsidR="008C60AD">
        <w:tc>
          <w:tcPr>
            <w:tcW w:w="1149"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120E6E">
            <w:pPr>
              <w:pStyle w:val="Standard"/>
              <w:spacing w:after="240" w:line="360" w:lineRule="auto"/>
              <w:rPr>
                <w:color w:val="666666"/>
              </w:rPr>
            </w:pPr>
            <w:r>
              <w:rPr>
                <w:color w:val="666666"/>
              </w:rPr>
              <w:t>4</w:t>
            </w:r>
          </w:p>
        </w:tc>
        <w:tc>
          <w:tcPr>
            <w:tcW w:w="1554"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c>
          <w:tcPr>
            <w:tcW w:w="2497"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c>
          <w:tcPr>
            <w:tcW w:w="3946"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r>
      <w:tr w:rsidR="008C60AD">
        <w:tc>
          <w:tcPr>
            <w:tcW w:w="1149"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120E6E">
            <w:pPr>
              <w:pStyle w:val="Standard"/>
              <w:spacing w:after="240" w:line="360" w:lineRule="auto"/>
              <w:rPr>
                <w:color w:val="666666"/>
              </w:rPr>
            </w:pPr>
            <w:r>
              <w:rPr>
                <w:color w:val="666666"/>
              </w:rPr>
              <w:t>5</w:t>
            </w:r>
          </w:p>
        </w:tc>
        <w:tc>
          <w:tcPr>
            <w:tcW w:w="1554"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c>
          <w:tcPr>
            <w:tcW w:w="2497"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c>
          <w:tcPr>
            <w:tcW w:w="3946" w:type="dxa"/>
            <w:tcBorders>
              <w:top w:val="outset" w:sz="18" w:space="0" w:color="009933"/>
              <w:left w:val="outset" w:sz="18" w:space="0" w:color="009933"/>
              <w:bottom w:val="outset" w:sz="18" w:space="0" w:color="009933"/>
              <w:right w:val="outset" w:sz="18" w:space="0" w:color="009933"/>
            </w:tcBorders>
            <w:shd w:val="clear" w:color="auto" w:fill="FFFFFF"/>
            <w:tcMar>
              <w:top w:w="15" w:type="dxa"/>
              <w:left w:w="14" w:type="dxa"/>
              <w:bottom w:w="15" w:type="dxa"/>
              <w:right w:w="15" w:type="dxa"/>
            </w:tcMar>
          </w:tcPr>
          <w:p w:rsidR="008C60AD" w:rsidRDefault="008C60AD">
            <w:pPr>
              <w:pStyle w:val="Standard"/>
              <w:spacing w:after="240" w:line="360" w:lineRule="auto"/>
            </w:pPr>
          </w:p>
        </w:tc>
      </w:tr>
    </w:tbl>
    <w:p w:rsidR="008C60AD" w:rsidRDefault="008C60AD">
      <w:pPr>
        <w:pStyle w:val="Standard"/>
      </w:pPr>
    </w:p>
    <w:sectPr w:rsidR="008C60AD">
      <w:footerReference w:type="default" r:id="rId9"/>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8BF" w:rsidRDefault="00B838BF">
      <w:r>
        <w:separator/>
      </w:r>
    </w:p>
  </w:endnote>
  <w:endnote w:type="continuationSeparator" w:id="0">
    <w:p w:rsidR="00B838BF" w:rsidRDefault="00B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ans CJK SC Regular">
    <w:altName w:val="Calibri"/>
    <w:charset w:val="00"/>
    <w:family w:val="auto"/>
    <w:pitch w:val="variable"/>
  </w:font>
  <w:font w:name="FreeSans">
    <w:altName w:val="Calibri"/>
    <w:charset w:val="00"/>
    <w:family w:val="auto"/>
    <w:pitch w:val="variable"/>
  </w:font>
  <w:font w:name="Liberation Sans">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Trade Gothic LT Std">
    <w:charset w:val="00"/>
    <w:family w:val="auto"/>
    <w:pitch w:val="variable"/>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4B4" w:rsidRDefault="00120E6E">
    <w:pPr>
      <w:pStyle w:val="Footer"/>
    </w:pPr>
    <w:r>
      <w:rPr>
        <w:noProof/>
      </w:rPr>
      <w:drawing>
        <wp:anchor distT="0" distB="0" distL="114300" distR="114300" simplePos="0" relativeHeight="251659264" behindDoc="0" locked="0" layoutInCell="1" allowOverlap="1">
          <wp:simplePos x="0" y="0"/>
          <wp:positionH relativeFrom="column">
            <wp:posOffset>32385</wp:posOffset>
          </wp:positionH>
          <wp:positionV relativeFrom="paragraph">
            <wp:posOffset>1270</wp:posOffset>
          </wp:positionV>
          <wp:extent cx="2028960" cy="522000"/>
          <wp:effectExtent l="0" t="0" r="9390" b="0"/>
          <wp:wrapSquare wrapText="bothSides"/>
          <wp:docPr id="1"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28960" cy="522000"/>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4613760</wp:posOffset>
              </wp:positionH>
              <wp:positionV relativeFrom="paragraph">
                <wp:posOffset>343440</wp:posOffset>
              </wp:positionV>
              <wp:extent cx="2028960" cy="304920"/>
              <wp:effectExtent l="0" t="0" r="9390" b="18930"/>
              <wp:wrapNone/>
              <wp:docPr id="2" name="Shape2"/>
              <wp:cNvGraphicFramePr/>
              <a:graphic xmlns:a="http://schemas.openxmlformats.org/drawingml/2006/main">
                <a:graphicData uri="http://schemas.microsoft.com/office/word/2010/wordprocessingShape">
                  <wps:wsp>
                    <wps:cNvSpPr txBox="1"/>
                    <wps:spPr>
                      <a:xfrm>
                        <a:off x="0" y="0"/>
                        <a:ext cx="2028960" cy="304920"/>
                      </a:xfrm>
                      <a:prstGeom prst="rect">
                        <a:avLst/>
                      </a:prstGeom>
                      <a:noFill/>
                      <a:ln>
                        <a:noFill/>
                      </a:ln>
                    </wps:spPr>
                    <wps:txbx>
                      <w:txbxContent>
                        <w:p w:rsidR="00A004B4" w:rsidRDefault="00120E6E">
                          <w:r>
                            <w:rPr>
                              <w:color w:val="666666"/>
                            </w:rPr>
                            <w:t>roubler.com</w:t>
                          </w:r>
                        </w:p>
                      </w:txbxContent>
                    </wps:txbx>
                    <wps:bodyPr vert="horz" wrap="none" lIns="0" tIns="0" rIns="0" bIns="0" compatLnSpc="0">
                      <a:noAutofit/>
                    </wps:bodyPr>
                  </wps:wsp>
                </a:graphicData>
              </a:graphic>
            </wp:anchor>
          </w:drawing>
        </mc:Choice>
        <mc:Fallback>
          <w:pict>
            <v:shapetype id="_x0000_t202" coordsize="21600,21600" o:spt="202" path="m,l,21600r21600,l21600,xe">
              <v:stroke joinstyle="miter"/>
              <v:path gradientshapeok="t" o:connecttype="rect"/>
            </v:shapetype>
            <v:shape id="Shape2" o:spid="_x0000_s1026" type="#_x0000_t202" style="position:absolute;margin-left:363.3pt;margin-top:27.05pt;width:159.75pt;height:24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" filled="f" stroked="f">
              <v:textbox inset="0,0,0,0">
                <w:txbxContent>
                  <w:p w:rsidR="00A004B4" w:rsidRDefault="00120E6E">
                    <w:r>
                      <w:rPr>
                        <w:color w:val="666666"/>
                      </w:rPr>
                      <w:t>roubler.com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8BF" w:rsidRDefault="00B838BF">
      <w:r>
        <w:rPr>
          <w:color w:val="000000"/>
        </w:rPr>
        <w:separator/>
      </w:r>
    </w:p>
  </w:footnote>
  <w:footnote w:type="continuationSeparator" w:id="0">
    <w:p w:rsidR="00B838BF" w:rsidRDefault="00B83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C2849"/>
    <w:multiLevelType w:val="multilevel"/>
    <w:tmpl w:val="48C626C6"/>
    <w:styleLink w:val="WWNum3"/>
    <w:lvl w:ilvl="0">
      <w:numFmt w:val="bullet"/>
      <w:lvlText w:val=""/>
      <w:lvlJc w:val="left"/>
      <w:pPr>
        <w:ind w:left="720" w:hanging="360"/>
      </w:pPr>
      <w:rPr>
        <w:rFonts w:ascii="Symbol" w:hAnsi="Symbol" w:cs="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3C3E49F3"/>
    <w:multiLevelType w:val="multilevel"/>
    <w:tmpl w:val="63C638B6"/>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3716347"/>
    <w:multiLevelType w:val="multilevel"/>
    <w:tmpl w:val="D53011C8"/>
    <w:styleLink w:val="WW8Num2"/>
    <w:lvl w:ilvl="0">
      <w:numFmt w:val="bullet"/>
      <w:lvlText w:val=""/>
      <w:lvlJc w:val="left"/>
      <w:pPr>
        <w:ind w:left="10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AD"/>
    <w:rsid w:val="00120E6E"/>
    <w:rsid w:val="008C60AD"/>
    <w:rsid w:val="009D5BFD"/>
    <w:rsid w:val="00B838BF"/>
    <w:rsid w:val="00F11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D95DF"/>
  <w15:docId w15:val="{431A444C-40B6-46C6-A127-3EB5B3522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kern w:val="3"/>
        <w:sz w:val="24"/>
        <w:szCs w:val="24"/>
        <w:lang w:val="en-PH"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Standard"/>
    <w:pPr>
      <w:spacing w:before="90" w:after="180"/>
      <w:ind w:right="90"/>
    </w:pPr>
    <w:rPr>
      <w:rFonts w:ascii="Times New Roman" w:eastAsia="Times New Roman" w:hAnsi="Times New Roman" w:cs="Times New Roman"/>
      <w:lang w:val="en-AU"/>
    </w:rPr>
  </w:style>
  <w:style w:type="paragraph" w:customStyle="1" w:styleId="TableContents">
    <w:name w:val="Table Contents"/>
    <w:basedOn w:val="Standard"/>
    <w:pPr>
      <w:suppressLineNumbers/>
    </w:pPr>
  </w:style>
  <w:style w:type="paragraph" w:styleId="Footer">
    <w:name w:val="footer"/>
    <w:basedOn w:val="Standard"/>
    <w:pPr>
      <w:suppressLineNumbers/>
      <w:tabs>
        <w:tab w:val="center" w:pos="4986"/>
        <w:tab w:val="right" w:pos="9972"/>
      </w:tabs>
    </w:pPr>
  </w:style>
  <w:style w:type="paragraph" w:customStyle="1" w:styleId="Contents2">
    <w:name w:val="Contents 2"/>
    <w:basedOn w:val="Standard"/>
    <w:next w:val="Standard"/>
    <w:pPr>
      <w:tabs>
        <w:tab w:val="right" w:leader="dot" w:pos="9009"/>
      </w:tabs>
      <w:spacing w:after="100"/>
      <w:ind w:left="220"/>
    </w:pPr>
    <w:rPr>
      <w:rFonts w:cs="Arial"/>
      <w:caps/>
    </w:rPr>
  </w:style>
  <w:style w:type="paragraph" w:customStyle="1" w:styleId="Contents1">
    <w:name w:val="Contents 1"/>
    <w:basedOn w:val="Standard"/>
    <w:next w:val="Standard"/>
    <w:pPr>
      <w:tabs>
        <w:tab w:val="right" w:leader="dot" w:pos="9356"/>
      </w:tabs>
      <w:spacing w:after="100"/>
      <w:ind w:right="-512"/>
    </w:pPr>
    <w:rPr>
      <w:rFonts w:cs="Arial"/>
      <w:sz w:val="28"/>
      <w:szCs w:val="28"/>
    </w:rPr>
  </w:style>
  <w:style w:type="paragraph" w:customStyle="1" w:styleId="TableHeading">
    <w:name w:val="Table Heading"/>
    <w:basedOn w:val="TableContents"/>
    <w:pPr>
      <w:jc w:val="center"/>
    </w:pPr>
    <w:rPr>
      <w:b/>
      <w:bCs/>
    </w:rPr>
  </w:style>
  <w:style w:type="paragraph" w:styleId="ListParagraph">
    <w:name w:val="List Paragraph"/>
    <w:basedOn w:val="Standard"/>
    <w:pPr>
      <w:spacing w:after="240"/>
      <w:ind w:left="720"/>
    </w:pPr>
  </w:style>
  <w:style w:type="paragraph" w:customStyle="1" w:styleId="Default">
    <w:name w:val="Default"/>
    <w:rPr>
      <w:rFonts w:ascii="Trade Gothic LT Std" w:eastAsia="Calibri" w:hAnsi="Trade Gothic LT Std" w:cs="Trade Gothic LT Std"/>
      <w:color w:val="000000"/>
      <w:lang w:val="en-AU" w:eastAsia="en-US" w:bidi="ar-SA"/>
    </w:rPr>
  </w:style>
  <w:style w:type="character" w:customStyle="1" w:styleId="StrongEmphasis">
    <w:name w:val="Strong Emphasis"/>
    <w:rPr>
      <w:b/>
      <w:bCs/>
    </w:rPr>
  </w:style>
  <w:style w:type="character" w:customStyle="1" w:styleId="WW8Num2z0">
    <w:name w:val="WW8Num2z0"/>
    <w:rPr>
      <w:rFonts w:ascii="Wingdings" w:eastAsia="Wingdings" w:hAnsi="Wingdings" w:cs="Wingdings"/>
      <w:sz w:val="20"/>
    </w:rPr>
  </w:style>
  <w:style w:type="character" w:customStyle="1" w:styleId="Internetlink">
    <w:name w:val="Internet link"/>
    <w:rPr>
      <w:color w:val="000080"/>
      <w:u w:val="single"/>
    </w:rPr>
  </w:style>
  <w:style w:type="character" w:customStyle="1" w:styleId="IndexLink">
    <w:name w:val="Index Link"/>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cs="Courier New"/>
    </w:rPr>
  </w:style>
  <w:style w:type="character" w:customStyle="1" w:styleId="ListLabel20">
    <w:name w:val="ListLabel 20"/>
    <w:rPr>
      <w:rFonts w:ascii="Arial" w:eastAsia="Arial" w:hAnsi="Arial" w:cs="Symbol"/>
      <w:sz w:val="22"/>
    </w:rPr>
  </w:style>
  <w:style w:type="character" w:customStyle="1" w:styleId="ListLabel21">
    <w:name w:val="ListLabel 21"/>
    <w:rPr>
      <w:rFonts w:cs="Courier New"/>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numbering" w:customStyle="1" w:styleId="WW8Num2">
    <w:name w:val="WW8Num2"/>
    <w:basedOn w:val="NoList"/>
    <w:pPr>
      <w:numPr>
        <w:numId w:val="1"/>
      </w:numPr>
    </w:pPr>
  </w:style>
  <w:style w:type="numbering" w:customStyle="1" w:styleId="WWNum21">
    <w:name w:val="WWNum21"/>
    <w:basedOn w:val="NoList"/>
    <w:pPr>
      <w:numPr>
        <w:numId w:val="2"/>
      </w:numPr>
    </w:pPr>
  </w:style>
  <w:style w:type="numbering" w:customStyle="1" w:styleId="WWNum3">
    <w:name w:val="WWNum3"/>
    <w:basedOn w:val="NoList"/>
    <w:pPr>
      <w:numPr>
        <w:numId w:val="3"/>
      </w:numPr>
    </w:pPr>
  </w:style>
  <w:style w:type="paragraph" w:styleId="Header">
    <w:name w:val="header"/>
    <w:basedOn w:val="Normal"/>
    <w:link w:val="HeaderChar"/>
    <w:uiPriority w:val="99"/>
    <w:unhideWhenUsed/>
    <w:rsid w:val="00F11651"/>
    <w:pPr>
      <w:tabs>
        <w:tab w:val="center" w:pos="4680"/>
        <w:tab w:val="right" w:pos="9360"/>
      </w:tabs>
    </w:pPr>
    <w:rPr>
      <w:rFonts w:cs="Mangal"/>
      <w:szCs w:val="21"/>
    </w:rPr>
  </w:style>
  <w:style w:type="character" w:customStyle="1" w:styleId="HeaderChar">
    <w:name w:val="Header Char"/>
    <w:basedOn w:val="DefaultParagraphFont"/>
    <w:link w:val="Header"/>
    <w:uiPriority w:val="99"/>
    <w:rsid w:val="00F1165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martraveller.gov.au/zw-cgi/view/Advic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Austpec</dc:creator>
  <cp:lastModifiedBy>Natarsha Gibson</cp:lastModifiedBy>
  <cp:revision>3</cp:revision>
  <dcterms:created xsi:type="dcterms:W3CDTF">2018-06-04T04:41:00Z</dcterms:created>
  <dcterms:modified xsi:type="dcterms:W3CDTF">2018-06-05T05:48:00Z</dcterms:modified>
</cp:coreProperties>
</file>